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6D" w:rsidRDefault="0054446D" w:rsidP="006F0A1B">
      <w:pPr>
        <w:autoSpaceDE w:val="0"/>
        <w:autoSpaceDN w:val="0"/>
        <w:adjustRightInd w:val="0"/>
        <w:spacing w:after="0" w:line="240" w:lineRule="auto"/>
        <w:rPr>
          <w:rFonts w:ascii="Century Gothic" w:hAnsi="Century Gothic" w:cs="Helvetica"/>
          <w:b/>
          <w:color w:val="000000"/>
          <w:sz w:val="20"/>
          <w:szCs w:val="20"/>
        </w:rPr>
      </w:pPr>
      <w:bookmarkStart w:id="0" w:name="_GoBack"/>
      <w:bookmarkEnd w:id="0"/>
    </w:p>
    <w:p w:rsidR="0054446D" w:rsidRPr="00553C82" w:rsidRDefault="0054446D" w:rsidP="00B50530">
      <w:pPr>
        <w:autoSpaceDE w:val="0"/>
        <w:autoSpaceDN w:val="0"/>
        <w:adjustRightInd w:val="0"/>
        <w:spacing w:after="0" w:line="240" w:lineRule="auto"/>
        <w:jc w:val="both"/>
        <w:rPr>
          <w:rFonts w:ascii="Century Gothic" w:hAnsi="Century Gothic" w:cs="Helvetica"/>
          <w:color w:val="000000"/>
          <w:sz w:val="18"/>
          <w:szCs w:val="20"/>
        </w:rPr>
      </w:pPr>
      <w:r w:rsidRPr="00553C82">
        <w:rPr>
          <w:rFonts w:ascii="Century Gothic" w:hAnsi="Century Gothic" w:cs="Helvetica"/>
          <w:b/>
          <w:color w:val="000000"/>
          <w:sz w:val="18"/>
          <w:szCs w:val="20"/>
        </w:rPr>
        <w:t>Artículo 91.</w:t>
      </w:r>
      <w:r w:rsidRPr="00553C82">
        <w:rPr>
          <w:rFonts w:ascii="Century Gothic" w:hAnsi="Century Gothic" w:cs="Helvetica"/>
          <w:color w:val="000000"/>
          <w:sz w:val="18"/>
          <w:szCs w:val="20"/>
        </w:rPr>
        <w:t xml:space="preserve"> Los sujetos obligados deberán publicar en la Plataforma Nacional y en sus portales de internet, en forma permanente y actualizada, con acceso al público y mediante procesos informáticos sencillos y de fácil comprensión, y de acuerdo con sus facultades, atribuciones, funciones u objeto social, según corresponda, la información de carácter común, por lo menos, de los temas, documentos y políticas que a continuación se señalan:</w:t>
      </w:r>
    </w:p>
    <w:p w:rsidR="0054446D" w:rsidRPr="005A3CB6" w:rsidRDefault="00B50530" w:rsidP="00B50530">
      <w:pPr>
        <w:autoSpaceDE w:val="0"/>
        <w:autoSpaceDN w:val="0"/>
        <w:adjustRightInd w:val="0"/>
        <w:spacing w:after="0" w:line="240" w:lineRule="auto"/>
        <w:jc w:val="both"/>
        <w:rPr>
          <w:rFonts w:ascii="Century Gothic" w:hAnsi="Century Gothic" w:cs="Calibri-BoldItalic"/>
          <w:bCs/>
          <w:iCs/>
          <w:sz w:val="20"/>
          <w:szCs w:val="20"/>
        </w:rPr>
      </w:pPr>
      <w:r w:rsidRPr="005A3CB6">
        <w:rPr>
          <w:rFonts w:ascii="Century Gothic" w:hAnsi="Century Gothic" w:cs="Helvetica"/>
          <w:color w:val="000000"/>
          <w:sz w:val="20"/>
          <w:szCs w:val="20"/>
        </w:rPr>
        <w:t xml:space="preserve"> </w:t>
      </w:r>
    </w:p>
    <w:tbl>
      <w:tblPr>
        <w:tblStyle w:val="Tablaconcuadrcula"/>
        <w:tblW w:w="10768" w:type="dxa"/>
        <w:tblLayout w:type="fixed"/>
        <w:tblLook w:val="04A0" w:firstRow="1" w:lastRow="0" w:firstColumn="1" w:lastColumn="0" w:noHBand="0" w:noVBand="1"/>
      </w:tblPr>
      <w:tblGrid>
        <w:gridCol w:w="1129"/>
        <w:gridCol w:w="3828"/>
        <w:gridCol w:w="1275"/>
        <w:gridCol w:w="1418"/>
        <w:gridCol w:w="3118"/>
      </w:tblGrid>
      <w:tr w:rsidR="00553C82" w:rsidTr="000D230C">
        <w:tc>
          <w:tcPr>
            <w:tcW w:w="1129" w:type="dxa"/>
            <w:shd w:val="clear" w:color="auto" w:fill="0F627F"/>
          </w:tcPr>
          <w:p w:rsidR="0054446D" w:rsidRPr="008C0776" w:rsidRDefault="0054446D" w:rsidP="0054446D">
            <w:pPr>
              <w:autoSpaceDE w:val="0"/>
              <w:autoSpaceDN w:val="0"/>
              <w:adjustRightInd w:val="0"/>
              <w:rPr>
                <w:rFonts w:ascii="Century Gothic" w:hAnsi="Century Gothic" w:cs="Calibri-BoldItalic"/>
                <w:b/>
                <w:bCs/>
                <w:iCs/>
                <w:color w:val="FFFFFF" w:themeColor="background1"/>
                <w:sz w:val="16"/>
                <w:szCs w:val="20"/>
              </w:rPr>
            </w:pPr>
          </w:p>
          <w:p w:rsidR="0054446D" w:rsidRPr="008C0776" w:rsidRDefault="0054446D" w:rsidP="0054446D">
            <w:pPr>
              <w:autoSpaceDE w:val="0"/>
              <w:autoSpaceDN w:val="0"/>
              <w:adjustRightInd w:val="0"/>
              <w:jc w:val="center"/>
              <w:rPr>
                <w:rFonts w:ascii="Century Gothic" w:hAnsi="Century Gothic" w:cs="Calibri-BoldItalic"/>
                <w:b/>
                <w:bCs/>
                <w:iCs/>
                <w:color w:val="FFFFFF" w:themeColor="background1"/>
                <w:sz w:val="16"/>
                <w:szCs w:val="20"/>
              </w:rPr>
            </w:pPr>
            <w:r w:rsidRPr="008C0776">
              <w:rPr>
                <w:rFonts w:ascii="Century Gothic" w:hAnsi="Century Gothic" w:cs="Calibri-BoldItalic"/>
                <w:b/>
                <w:bCs/>
                <w:iCs/>
                <w:color w:val="FFFFFF" w:themeColor="background1"/>
                <w:sz w:val="16"/>
                <w:szCs w:val="20"/>
              </w:rPr>
              <w:t>FRACCIÓN</w:t>
            </w:r>
          </w:p>
        </w:tc>
        <w:tc>
          <w:tcPr>
            <w:tcW w:w="3828" w:type="dxa"/>
            <w:shd w:val="clear" w:color="auto" w:fill="0F627F"/>
          </w:tcPr>
          <w:p w:rsidR="0054446D" w:rsidRPr="008C0776" w:rsidRDefault="0054446D" w:rsidP="0054446D">
            <w:pPr>
              <w:autoSpaceDE w:val="0"/>
              <w:autoSpaceDN w:val="0"/>
              <w:adjustRightInd w:val="0"/>
              <w:rPr>
                <w:rFonts w:ascii="Century Gothic" w:hAnsi="Century Gothic" w:cs="Calibri-BoldItalic"/>
                <w:b/>
                <w:bCs/>
                <w:iCs/>
                <w:color w:val="FFFFFF" w:themeColor="background1"/>
                <w:sz w:val="16"/>
                <w:szCs w:val="20"/>
              </w:rPr>
            </w:pPr>
          </w:p>
          <w:p w:rsidR="0054446D" w:rsidRPr="008C0776" w:rsidRDefault="0054446D" w:rsidP="0054446D">
            <w:pPr>
              <w:autoSpaceDE w:val="0"/>
              <w:autoSpaceDN w:val="0"/>
              <w:adjustRightInd w:val="0"/>
              <w:jc w:val="center"/>
              <w:rPr>
                <w:rFonts w:ascii="Century Gothic" w:hAnsi="Century Gothic" w:cs="Calibri-BoldItalic"/>
                <w:b/>
                <w:bCs/>
                <w:iCs/>
                <w:color w:val="FFFFFF" w:themeColor="background1"/>
                <w:sz w:val="16"/>
                <w:szCs w:val="20"/>
              </w:rPr>
            </w:pPr>
            <w:r w:rsidRPr="008C0776">
              <w:rPr>
                <w:rFonts w:ascii="Century Gothic" w:hAnsi="Century Gothic" w:cs="Calibri-BoldItalic"/>
                <w:b/>
                <w:bCs/>
                <w:iCs/>
                <w:color w:val="FFFFFF" w:themeColor="background1"/>
                <w:sz w:val="16"/>
                <w:szCs w:val="20"/>
              </w:rPr>
              <w:t>CONTENIDO DE LA FRACCIÓN</w:t>
            </w:r>
          </w:p>
        </w:tc>
        <w:tc>
          <w:tcPr>
            <w:tcW w:w="1275" w:type="dxa"/>
            <w:shd w:val="clear" w:color="auto" w:fill="0F627F"/>
          </w:tcPr>
          <w:p w:rsidR="0054446D" w:rsidRPr="008C0776" w:rsidRDefault="0054446D" w:rsidP="0054446D">
            <w:pPr>
              <w:autoSpaceDE w:val="0"/>
              <w:autoSpaceDN w:val="0"/>
              <w:adjustRightInd w:val="0"/>
              <w:rPr>
                <w:rFonts w:ascii="Century Gothic" w:hAnsi="Century Gothic" w:cs="Calibri-BoldItalic"/>
                <w:b/>
                <w:bCs/>
                <w:iCs/>
                <w:color w:val="FFFFFF" w:themeColor="background1"/>
                <w:sz w:val="16"/>
                <w:szCs w:val="20"/>
              </w:rPr>
            </w:pPr>
          </w:p>
          <w:p w:rsidR="0054446D" w:rsidRPr="008C0776" w:rsidRDefault="00F5379B" w:rsidP="0054446D">
            <w:pPr>
              <w:autoSpaceDE w:val="0"/>
              <w:autoSpaceDN w:val="0"/>
              <w:adjustRightInd w:val="0"/>
              <w:jc w:val="center"/>
              <w:rPr>
                <w:rFonts w:ascii="Century Gothic" w:hAnsi="Century Gothic" w:cs="Calibri-BoldItalic"/>
                <w:b/>
                <w:bCs/>
                <w:iCs/>
                <w:color w:val="FFFFFF" w:themeColor="background1"/>
                <w:sz w:val="16"/>
                <w:szCs w:val="20"/>
              </w:rPr>
            </w:pPr>
            <w:r>
              <w:rPr>
                <w:rFonts w:ascii="Century Gothic" w:hAnsi="Century Gothic" w:cs="Calibri-BoldItalic"/>
                <w:b/>
                <w:bCs/>
                <w:iCs/>
                <w:color w:val="FFFFFF" w:themeColor="background1"/>
                <w:sz w:val="16"/>
                <w:szCs w:val="20"/>
              </w:rPr>
              <w:t xml:space="preserve">FORMATO/ </w:t>
            </w:r>
            <w:r w:rsidR="0054446D" w:rsidRPr="008C0776">
              <w:rPr>
                <w:rFonts w:ascii="Century Gothic" w:hAnsi="Century Gothic" w:cs="Calibri-BoldItalic"/>
                <w:b/>
                <w:bCs/>
                <w:iCs/>
                <w:color w:val="FFFFFF" w:themeColor="background1"/>
                <w:sz w:val="16"/>
                <w:szCs w:val="20"/>
              </w:rPr>
              <w:t>INCISO</w:t>
            </w:r>
          </w:p>
        </w:tc>
        <w:tc>
          <w:tcPr>
            <w:tcW w:w="1418" w:type="dxa"/>
            <w:shd w:val="clear" w:color="auto" w:fill="0F627F"/>
          </w:tcPr>
          <w:p w:rsidR="0054446D" w:rsidRPr="008C0776" w:rsidRDefault="0054446D" w:rsidP="0054446D">
            <w:pPr>
              <w:autoSpaceDE w:val="0"/>
              <w:autoSpaceDN w:val="0"/>
              <w:adjustRightInd w:val="0"/>
              <w:rPr>
                <w:rFonts w:ascii="Century Gothic" w:hAnsi="Century Gothic" w:cs="Calibri-BoldItalic"/>
                <w:b/>
                <w:bCs/>
                <w:iCs/>
                <w:color w:val="FFFFFF" w:themeColor="background1"/>
                <w:sz w:val="16"/>
                <w:szCs w:val="20"/>
              </w:rPr>
            </w:pPr>
          </w:p>
          <w:p w:rsidR="0054446D" w:rsidRPr="008C0776" w:rsidRDefault="0054446D" w:rsidP="0054446D">
            <w:pPr>
              <w:autoSpaceDE w:val="0"/>
              <w:autoSpaceDN w:val="0"/>
              <w:adjustRightInd w:val="0"/>
              <w:jc w:val="center"/>
              <w:rPr>
                <w:rFonts w:ascii="Century Gothic" w:hAnsi="Century Gothic" w:cs="Calibri-BoldItalic"/>
                <w:b/>
                <w:bCs/>
                <w:iCs/>
                <w:color w:val="FFFFFF" w:themeColor="background1"/>
                <w:sz w:val="16"/>
                <w:szCs w:val="20"/>
              </w:rPr>
            </w:pPr>
            <w:r w:rsidRPr="008C0776">
              <w:rPr>
                <w:rFonts w:ascii="Century Gothic" w:hAnsi="Century Gothic" w:cs="Calibri-BoldItalic"/>
                <w:b/>
                <w:bCs/>
                <w:iCs/>
                <w:color w:val="FFFFFF" w:themeColor="background1"/>
                <w:sz w:val="16"/>
                <w:szCs w:val="20"/>
              </w:rPr>
              <w:t>APLICABILIDAD</w:t>
            </w:r>
          </w:p>
        </w:tc>
        <w:tc>
          <w:tcPr>
            <w:tcW w:w="3118" w:type="dxa"/>
            <w:shd w:val="clear" w:color="auto" w:fill="0F627F"/>
          </w:tcPr>
          <w:p w:rsidR="0054446D" w:rsidRPr="008C0776" w:rsidRDefault="0054446D" w:rsidP="0054446D">
            <w:pPr>
              <w:autoSpaceDE w:val="0"/>
              <w:autoSpaceDN w:val="0"/>
              <w:adjustRightInd w:val="0"/>
              <w:jc w:val="center"/>
              <w:rPr>
                <w:rFonts w:ascii="Century Gothic" w:hAnsi="Century Gothic" w:cs="Calibri-BoldItalic"/>
                <w:b/>
                <w:bCs/>
                <w:iCs/>
                <w:color w:val="FFFFFF" w:themeColor="background1"/>
                <w:sz w:val="16"/>
                <w:szCs w:val="20"/>
              </w:rPr>
            </w:pPr>
            <w:r w:rsidRPr="008C0776">
              <w:rPr>
                <w:rFonts w:ascii="Century Gothic" w:hAnsi="Century Gothic" w:cs="Calibri-BoldItalic"/>
                <w:b/>
                <w:bCs/>
                <w:iCs/>
                <w:color w:val="FFFFFF" w:themeColor="background1"/>
                <w:sz w:val="16"/>
                <w:szCs w:val="20"/>
              </w:rPr>
              <w:t>ÁREA(S) O UNIDAD(ES) ADMINISTRATIVA(S) QUE GENERA(N) O POSEE(N) LA INFORMACIÓN</w:t>
            </w:r>
            <w:r w:rsidR="00645D98" w:rsidRPr="008C0776">
              <w:rPr>
                <w:rFonts w:ascii="Century Gothic" w:hAnsi="Century Gothic" w:cs="Calibri-BoldItalic"/>
                <w:b/>
                <w:bCs/>
                <w:iCs/>
                <w:color w:val="FFFFFF" w:themeColor="background1"/>
                <w:sz w:val="16"/>
                <w:szCs w:val="20"/>
              </w:rPr>
              <w:t>:</w:t>
            </w:r>
          </w:p>
        </w:tc>
      </w:tr>
      <w:tr w:rsidR="002217AD" w:rsidRPr="0054446D" w:rsidTr="000D230C">
        <w:tc>
          <w:tcPr>
            <w:tcW w:w="1129" w:type="dxa"/>
          </w:tcPr>
          <w:p w:rsidR="0054446D" w:rsidRPr="0054446D" w:rsidRDefault="0054446D" w:rsidP="0054446D">
            <w:pPr>
              <w:autoSpaceDE w:val="0"/>
              <w:autoSpaceDN w:val="0"/>
              <w:adjustRightInd w:val="0"/>
              <w:jc w:val="center"/>
              <w:rPr>
                <w:rFonts w:ascii="Century Gothic" w:hAnsi="Century Gothic" w:cs="Calibri-BoldItalic"/>
                <w:bCs/>
                <w:iCs/>
                <w:sz w:val="16"/>
                <w:szCs w:val="16"/>
              </w:rPr>
            </w:pPr>
            <w:r w:rsidRPr="0054446D">
              <w:rPr>
                <w:rFonts w:ascii="Century Gothic" w:hAnsi="Century Gothic" w:cs="Calibri-BoldItalic"/>
                <w:bCs/>
                <w:iCs/>
                <w:sz w:val="16"/>
                <w:szCs w:val="16"/>
              </w:rPr>
              <w:t>I</w:t>
            </w:r>
          </w:p>
        </w:tc>
        <w:tc>
          <w:tcPr>
            <w:tcW w:w="3828" w:type="dxa"/>
          </w:tcPr>
          <w:p w:rsidR="0054446D" w:rsidRPr="0054446D" w:rsidRDefault="0054446D" w:rsidP="00B50530">
            <w:pPr>
              <w:autoSpaceDE w:val="0"/>
              <w:autoSpaceDN w:val="0"/>
              <w:adjustRightInd w:val="0"/>
              <w:jc w:val="both"/>
              <w:rPr>
                <w:rFonts w:ascii="Century Gothic" w:hAnsi="Century Gothic" w:cs="Calibri-BoldItalic"/>
                <w:bCs/>
                <w:iCs/>
                <w:sz w:val="16"/>
                <w:szCs w:val="16"/>
              </w:rPr>
            </w:pPr>
            <w:r w:rsidRPr="0054446D">
              <w:rPr>
                <w:rFonts w:ascii="Century Gothic" w:hAnsi="Century Gothic"/>
                <w:sz w:val="16"/>
                <w:szCs w:val="16"/>
              </w:rPr>
              <w:t>El marco normativo aplicable al sujeto obligado, en el que deberá incluirse leyes, códigos, reglamentos, decretos de creación, manuales administrativos, reglas de operación, criterios, políticas, entre otros;</w:t>
            </w:r>
          </w:p>
        </w:tc>
        <w:tc>
          <w:tcPr>
            <w:tcW w:w="1275" w:type="dxa"/>
            <w:vAlign w:val="center"/>
          </w:tcPr>
          <w:p w:rsidR="0054446D" w:rsidRPr="0054446D" w:rsidRDefault="00F5379B"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54446D" w:rsidRDefault="00553C82"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54446D" w:rsidRDefault="00553C82"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Jurídica</w:t>
            </w:r>
          </w:p>
        </w:tc>
      </w:tr>
      <w:tr w:rsidR="002217AD" w:rsidRPr="0054446D" w:rsidTr="000D230C">
        <w:tc>
          <w:tcPr>
            <w:tcW w:w="1129" w:type="dxa"/>
          </w:tcPr>
          <w:p w:rsidR="0054446D" w:rsidRPr="0054446D" w:rsidRDefault="0054446D" w:rsidP="0054446D">
            <w:pPr>
              <w:autoSpaceDE w:val="0"/>
              <w:autoSpaceDN w:val="0"/>
              <w:adjustRightInd w:val="0"/>
              <w:jc w:val="center"/>
              <w:rPr>
                <w:rFonts w:ascii="Century Gothic" w:hAnsi="Century Gothic" w:cs="Calibri-BoldItalic"/>
                <w:bCs/>
                <w:iCs/>
                <w:sz w:val="16"/>
                <w:szCs w:val="16"/>
              </w:rPr>
            </w:pPr>
            <w:r w:rsidRPr="0054446D">
              <w:rPr>
                <w:rFonts w:ascii="Century Gothic" w:hAnsi="Century Gothic" w:cs="Calibri-BoldItalic"/>
                <w:bCs/>
                <w:iCs/>
                <w:sz w:val="16"/>
                <w:szCs w:val="16"/>
              </w:rPr>
              <w:t>II</w:t>
            </w:r>
          </w:p>
        </w:tc>
        <w:tc>
          <w:tcPr>
            <w:tcW w:w="3828" w:type="dxa"/>
          </w:tcPr>
          <w:p w:rsidR="0054446D" w:rsidRPr="0054446D" w:rsidRDefault="0054446D" w:rsidP="00B50530">
            <w:pPr>
              <w:autoSpaceDE w:val="0"/>
              <w:autoSpaceDN w:val="0"/>
              <w:adjustRightInd w:val="0"/>
              <w:jc w:val="both"/>
              <w:rPr>
                <w:rFonts w:ascii="Century Gothic" w:hAnsi="Century Gothic" w:cs="Calibri-BoldItalic"/>
                <w:bCs/>
                <w:iCs/>
                <w:sz w:val="16"/>
                <w:szCs w:val="16"/>
              </w:rPr>
            </w:pPr>
            <w:r w:rsidRPr="0054446D">
              <w:rPr>
                <w:rFonts w:ascii="Century Gothic" w:hAnsi="Century Gothic"/>
                <w:sz w:val="16"/>
                <w:szCs w:val="16"/>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275" w:type="dxa"/>
            <w:vAlign w:val="center"/>
          </w:tcPr>
          <w:p w:rsidR="0054446D" w:rsidRDefault="00F5379B"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F5379B" w:rsidRPr="0054446D" w:rsidRDefault="00F5379B"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54446D" w:rsidRPr="0054446D" w:rsidRDefault="00553C82"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54446D" w:rsidRDefault="00553C82" w:rsidP="0012560D">
            <w:pPr>
              <w:autoSpaceDE w:val="0"/>
              <w:autoSpaceDN w:val="0"/>
              <w:adjustRightInd w:val="0"/>
              <w:jc w:val="center"/>
              <w:rPr>
                <w:rFonts w:ascii="Century Gothic" w:hAnsi="Century Gothic" w:cs="Calibri-BoldItalic"/>
                <w:bCs/>
                <w:iCs/>
                <w:sz w:val="16"/>
                <w:szCs w:val="16"/>
              </w:rPr>
            </w:pPr>
            <w:r w:rsidRPr="00553C82">
              <w:rPr>
                <w:rFonts w:ascii="Century Gothic" w:hAnsi="Century Gothic" w:cs="Calibri-BoldItalic"/>
                <w:bCs/>
                <w:iCs/>
                <w:sz w:val="16"/>
                <w:szCs w:val="16"/>
              </w:rPr>
              <w:t>Dirección de Administración y Finanzas</w:t>
            </w:r>
          </w:p>
        </w:tc>
      </w:tr>
      <w:tr w:rsidR="002217AD" w:rsidRPr="00645D98" w:rsidTr="000D230C">
        <w:tc>
          <w:tcPr>
            <w:tcW w:w="1129" w:type="dxa"/>
          </w:tcPr>
          <w:p w:rsidR="0054446D" w:rsidRPr="00645D98" w:rsidRDefault="0054446D"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III</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szCs w:val="16"/>
              </w:rPr>
              <w:t>Las facultades de cada área;</w:t>
            </w:r>
          </w:p>
        </w:tc>
        <w:tc>
          <w:tcPr>
            <w:tcW w:w="1275" w:type="dxa"/>
            <w:vAlign w:val="center"/>
          </w:tcPr>
          <w:p w:rsidR="0054446D" w:rsidRPr="00645D98" w:rsidRDefault="00F5379B"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553C82"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553C82"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Jurídica</w:t>
            </w:r>
          </w:p>
        </w:tc>
      </w:tr>
      <w:tr w:rsidR="002217AD" w:rsidRPr="00645D98" w:rsidTr="000D230C">
        <w:tc>
          <w:tcPr>
            <w:tcW w:w="1129" w:type="dxa"/>
          </w:tcPr>
          <w:p w:rsidR="0054446D" w:rsidRPr="00645D98" w:rsidRDefault="0054446D"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IV</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szCs w:val="16"/>
              </w:rPr>
              <w:t>Las metas y objetivos de las áreas de conformidad con sus programas operativos;</w:t>
            </w:r>
          </w:p>
        </w:tc>
        <w:tc>
          <w:tcPr>
            <w:tcW w:w="1275" w:type="dxa"/>
            <w:vAlign w:val="center"/>
          </w:tcPr>
          <w:p w:rsidR="0054446D" w:rsidRPr="00645D98" w:rsidRDefault="00920ED4"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2217A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553C82"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Proyectos</w:t>
            </w:r>
          </w:p>
        </w:tc>
      </w:tr>
      <w:tr w:rsidR="002217AD" w:rsidRPr="00645D98" w:rsidTr="000D230C">
        <w:tc>
          <w:tcPr>
            <w:tcW w:w="1129" w:type="dxa"/>
          </w:tcPr>
          <w:p w:rsidR="004A6841" w:rsidRDefault="004A6841" w:rsidP="0054446D">
            <w:pPr>
              <w:autoSpaceDE w:val="0"/>
              <w:autoSpaceDN w:val="0"/>
              <w:adjustRightInd w:val="0"/>
              <w:jc w:val="center"/>
              <w:rPr>
                <w:rFonts w:ascii="Century Gothic" w:hAnsi="Century Gothic" w:cs="Calibri-BoldItalic"/>
                <w:bCs/>
                <w:iCs/>
                <w:sz w:val="16"/>
                <w:szCs w:val="16"/>
              </w:rPr>
            </w:pPr>
          </w:p>
          <w:p w:rsidR="004A6841" w:rsidRDefault="004A6841" w:rsidP="0054446D">
            <w:pPr>
              <w:autoSpaceDE w:val="0"/>
              <w:autoSpaceDN w:val="0"/>
              <w:adjustRightInd w:val="0"/>
              <w:jc w:val="center"/>
              <w:rPr>
                <w:rFonts w:ascii="Century Gothic" w:hAnsi="Century Gothic" w:cs="Calibri-BoldItalic"/>
                <w:bCs/>
                <w:iCs/>
                <w:sz w:val="16"/>
                <w:szCs w:val="16"/>
              </w:rPr>
            </w:pPr>
          </w:p>
          <w:p w:rsidR="004A6841" w:rsidRDefault="004A6841" w:rsidP="0054446D">
            <w:pPr>
              <w:autoSpaceDE w:val="0"/>
              <w:autoSpaceDN w:val="0"/>
              <w:adjustRightInd w:val="0"/>
              <w:jc w:val="center"/>
              <w:rPr>
                <w:rFonts w:ascii="Century Gothic" w:hAnsi="Century Gothic" w:cs="Calibri-BoldItalic"/>
                <w:bCs/>
                <w:iCs/>
                <w:sz w:val="16"/>
                <w:szCs w:val="16"/>
              </w:rPr>
            </w:pPr>
          </w:p>
          <w:p w:rsidR="004A6841" w:rsidRDefault="004A6841" w:rsidP="0054446D">
            <w:pPr>
              <w:autoSpaceDE w:val="0"/>
              <w:autoSpaceDN w:val="0"/>
              <w:adjustRightInd w:val="0"/>
              <w:jc w:val="center"/>
              <w:rPr>
                <w:rFonts w:ascii="Century Gothic" w:hAnsi="Century Gothic" w:cs="Calibri-BoldItalic"/>
                <w:bCs/>
                <w:iCs/>
                <w:sz w:val="16"/>
                <w:szCs w:val="16"/>
              </w:rPr>
            </w:pPr>
          </w:p>
          <w:p w:rsidR="0054446D" w:rsidRPr="00645D98" w:rsidRDefault="0054446D"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V</w:t>
            </w:r>
          </w:p>
        </w:tc>
        <w:tc>
          <w:tcPr>
            <w:tcW w:w="3828" w:type="dxa"/>
          </w:tcPr>
          <w:p w:rsidR="004A6841" w:rsidRDefault="004A6841" w:rsidP="00B50530">
            <w:pPr>
              <w:autoSpaceDE w:val="0"/>
              <w:autoSpaceDN w:val="0"/>
              <w:adjustRightInd w:val="0"/>
              <w:jc w:val="both"/>
              <w:rPr>
                <w:rFonts w:ascii="Century Gothic" w:hAnsi="Century Gothic"/>
                <w:sz w:val="16"/>
                <w:szCs w:val="16"/>
              </w:rPr>
            </w:pPr>
          </w:p>
          <w:p w:rsidR="004A6841" w:rsidRDefault="004A6841" w:rsidP="00B50530">
            <w:pPr>
              <w:autoSpaceDE w:val="0"/>
              <w:autoSpaceDN w:val="0"/>
              <w:adjustRightInd w:val="0"/>
              <w:jc w:val="both"/>
              <w:rPr>
                <w:rFonts w:ascii="Century Gothic" w:hAnsi="Century Gothic"/>
                <w:sz w:val="16"/>
                <w:szCs w:val="16"/>
              </w:rPr>
            </w:pPr>
          </w:p>
          <w:p w:rsidR="004A6841" w:rsidRDefault="004A6841" w:rsidP="00B50530">
            <w:pPr>
              <w:autoSpaceDE w:val="0"/>
              <w:autoSpaceDN w:val="0"/>
              <w:adjustRightInd w:val="0"/>
              <w:jc w:val="both"/>
              <w:rPr>
                <w:rFonts w:ascii="Century Gothic" w:hAnsi="Century Gothic"/>
                <w:sz w:val="16"/>
                <w:szCs w:val="16"/>
              </w:rPr>
            </w:pPr>
          </w:p>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szCs w:val="16"/>
              </w:rPr>
              <w:t>Los indicadores relacionados con temas de interés público o trascendencia social que conforme a sus funciones, deban establecer;</w:t>
            </w:r>
          </w:p>
        </w:tc>
        <w:tc>
          <w:tcPr>
            <w:tcW w:w="1275" w:type="dxa"/>
            <w:vAlign w:val="center"/>
          </w:tcPr>
          <w:p w:rsidR="0054446D" w:rsidRPr="00645D98" w:rsidRDefault="0054446D" w:rsidP="0012560D">
            <w:pPr>
              <w:autoSpaceDE w:val="0"/>
              <w:autoSpaceDN w:val="0"/>
              <w:adjustRightInd w:val="0"/>
              <w:jc w:val="center"/>
              <w:rPr>
                <w:rFonts w:ascii="Century Gothic" w:hAnsi="Century Gothic" w:cs="Calibri-BoldItalic"/>
                <w:bCs/>
                <w:iCs/>
                <w:sz w:val="16"/>
                <w:szCs w:val="16"/>
              </w:rPr>
            </w:pPr>
          </w:p>
        </w:tc>
        <w:tc>
          <w:tcPr>
            <w:tcW w:w="1418" w:type="dxa"/>
            <w:vAlign w:val="center"/>
          </w:tcPr>
          <w:p w:rsidR="0054446D" w:rsidRPr="00645D98" w:rsidRDefault="002217A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54446D" w:rsidRPr="00645D98" w:rsidRDefault="002217AD" w:rsidP="00B50530">
            <w:pPr>
              <w:autoSpaceDE w:val="0"/>
              <w:autoSpaceDN w:val="0"/>
              <w:adjustRightInd w:val="0"/>
              <w:jc w:val="both"/>
              <w:rPr>
                <w:rFonts w:ascii="Century Gothic" w:hAnsi="Century Gothic" w:cs="Calibri-BoldItalic"/>
                <w:bCs/>
                <w:iCs/>
                <w:sz w:val="16"/>
                <w:szCs w:val="16"/>
              </w:rPr>
            </w:pPr>
            <w:r w:rsidRPr="002217AD">
              <w:rPr>
                <w:rFonts w:ascii="Century Gothic" w:hAnsi="Century Gothic" w:cs="Calibri-BoldItalic"/>
                <w:bCs/>
                <w:iCs/>
                <w:sz w:val="16"/>
                <w:szCs w:val="16"/>
              </w:rPr>
              <w:t>De acuerdo con la misión, objetivo y/o atribuciones previstas en las disposiciones aplicables del Instituto, ninguna guarda relación con temas de interés público o trascendencia social, en razón de lo anterior el Instituto no genera, ni posee indicadores que valoren los resultados de temas que son relevantes o beneficiosos para la sociedad.</w:t>
            </w:r>
          </w:p>
        </w:tc>
      </w:tr>
      <w:tr w:rsidR="002217AD" w:rsidRPr="00645D98" w:rsidTr="000D230C">
        <w:tc>
          <w:tcPr>
            <w:tcW w:w="1129" w:type="dxa"/>
          </w:tcPr>
          <w:p w:rsidR="0054446D" w:rsidRPr="00645D98" w:rsidRDefault="0054446D"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VI</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szCs w:val="16"/>
              </w:rPr>
              <w:t>Los indicadores que permitan rendir cuenta de sus objetivos y resultados, así como indicadores de impacto y evaluación de los proyectos, procesos y toda otra atribución de funciones;</w:t>
            </w:r>
          </w:p>
        </w:tc>
        <w:tc>
          <w:tcPr>
            <w:tcW w:w="1275" w:type="dxa"/>
            <w:vAlign w:val="center"/>
          </w:tcPr>
          <w:p w:rsidR="0054446D" w:rsidRPr="00645D98" w:rsidRDefault="00920ED4"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2217A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2217A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Proyectos</w:t>
            </w:r>
          </w:p>
        </w:tc>
      </w:tr>
      <w:tr w:rsidR="002217AD" w:rsidRPr="00645D98" w:rsidTr="000D230C">
        <w:tc>
          <w:tcPr>
            <w:tcW w:w="1129" w:type="dxa"/>
          </w:tcPr>
          <w:p w:rsidR="0054446D" w:rsidRPr="00645D98" w:rsidRDefault="0054446D"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VII</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szCs w:val="16"/>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275" w:type="dxa"/>
            <w:vAlign w:val="center"/>
          </w:tcPr>
          <w:p w:rsidR="0054446D"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2217A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2217AD" w:rsidP="0012560D">
            <w:pPr>
              <w:autoSpaceDE w:val="0"/>
              <w:autoSpaceDN w:val="0"/>
              <w:adjustRightInd w:val="0"/>
              <w:jc w:val="center"/>
              <w:rPr>
                <w:rFonts w:ascii="Century Gothic" w:hAnsi="Century Gothic" w:cs="Calibri-BoldItalic"/>
                <w:bCs/>
                <w:iCs/>
                <w:sz w:val="16"/>
                <w:szCs w:val="16"/>
              </w:rPr>
            </w:pPr>
            <w:r w:rsidRPr="00553C82">
              <w:rPr>
                <w:rFonts w:ascii="Century Gothic" w:hAnsi="Century Gothic" w:cs="Calibri-BoldItalic"/>
                <w:bCs/>
                <w:iCs/>
                <w:sz w:val="16"/>
                <w:szCs w:val="16"/>
              </w:rPr>
              <w:t>Dirección de Administración y Finanzas</w:t>
            </w:r>
          </w:p>
        </w:tc>
      </w:tr>
      <w:tr w:rsidR="00553C82" w:rsidRPr="00645D98" w:rsidTr="000D230C">
        <w:tc>
          <w:tcPr>
            <w:tcW w:w="1129" w:type="dxa"/>
          </w:tcPr>
          <w:p w:rsidR="0054446D" w:rsidRPr="00645D98" w:rsidRDefault="00645D98"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VIII</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275" w:type="dxa"/>
            <w:vAlign w:val="center"/>
          </w:tcPr>
          <w:p w:rsidR="0054446D"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553C82" w:rsidRPr="00645D98" w:rsidTr="000D230C">
        <w:tc>
          <w:tcPr>
            <w:tcW w:w="1129" w:type="dxa"/>
          </w:tcPr>
          <w:p w:rsidR="0054446D" w:rsidRPr="00645D98" w:rsidRDefault="00645D98"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IX</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rPr>
              <w:t>Los gastos de representación y viáticos, así como el objeto e informe de comisión correspondiente;</w:t>
            </w:r>
          </w:p>
        </w:tc>
        <w:tc>
          <w:tcPr>
            <w:tcW w:w="1275" w:type="dxa"/>
            <w:vAlign w:val="center"/>
          </w:tcPr>
          <w:p w:rsidR="0054446D"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553C82" w:rsidRPr="00645D98" w:rsidTr="000D230C">
        <w:tc>
          <w:tcPr>
            <w:tcW w:w="1129" w:type="dxa"/>
          </w:tcPr>
          <w:p w:rsidR="0054446D" w:rsidRPr="00645D98" w:rsidRDefault="00645D98"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lastRenderedPageBreak/>
              <w:t>X</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rPr>
              <w:t>El número total de las plazas y del personal de base y confianza, especificando el total de las vacantes, por nivel de puesto, para cada unidad administrativa;</w:t>
            </w:r>
          </w:p>
        </w:tc>
        <w:tc>
          <w:tcPr>
            <w:tcW w:w="1275" w:type="dxa"/>
            <w:vAlign w:val="center"/>
          </w:tcPr>
          <w:p w:rsidR="00920ED4"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920ED4"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553C82" w:rsidRPr="00645D98" w:rsidTr="000D230C">
        <w:tc>
          <w:tcPr>
            <w:tcW w:w="1129" w:type="dxa"/>
          </w:tcPr>
          <w:p w:rsidR="0054446D" w:rsidRPr="00645D98" w:rsidRDefault="00645D98"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XI</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rPr>
              <w:t>Las contrataciones de servicios profesionales por honorarios, señalando los nombres de los prestadores de servicios, los servicios contratados, el monto de los honorarios y el período de contratación, y en su caso, los procesos de evaluación a los que se sujeta la vigencia del contrato o su recisión.</w:t>
            </w:r>
          </w:p>
        </w:tc>
        <w:tc>
          <w:tcPr>
            <w:tcW w:w="1275" w:type="dxa"/>
            <w:vAlign w:val="center"/>
          </w:tcPr>
          <w:p w:rsidR="0054446D" w:rsidRPr="00645D98" w:rsidRDefault="00920ED4"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Jurídica</w:t>
            </w:r>
          </w:p>
        </w:tc>
      </w:tr>
      <w:tr w:rsidR="00553C82" w:rsidRPr="00645D98" w:rsidTr="000D230C">
        <w:tc>
          <w:tcPr>
            <w:tcW w:w="1129" w:type="dxa"/>
          </w:tcPr>
          <w:p w:rsidR="0054446D" w:rsidRPr="00645D98" w:rsidRDefault="00645D98" w:rsidP="0054446D">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XII</w:t>
            </w:r>
          </w:p>
        </w:tc>
        <w:tc>
          <w:tcPr>
            <w:tcW w:w="3828" w:type="dxa"/>
          </w:tcPr>
          <w:p w:rsidR="0054446D" w:rsidRPr="00645D98" w:rsidRDefault="00645D98" w:rsidP="00B50530">
            <w:pPr>
              <w:autoSpaceDE w:val="0"/>
              <w:autoSpaceDN w:val="0"/>
              <w:adjustRightInd w:val="0"/>
              <w:jc w:val="both"/>
              <w:rPr>
                <w:rFonts w:ascii="Century Gothic" w:hAnsi="Century Gothic" w:cs="Calibri-BoldItalic"/>
                <w:bCs/>
                <w:iCs/>
                <w:sz w:val="16"/>
                <w:szCs w:val="16"/>
              </w:rPr>
            </w:pPr>
            <w:r w:rsidRPr="00645D98">
              <w:rPr>
                <w:rFonts w:ascii="Century Gothic" w:hAnsi="Century Gothic"/>
                <w:sz w:val="16"/>
              </w:rPr>
              <w:t>La información en versión pública de las declaraciones patrimoniales, declaraciones de no conflicto de intereses y declaraciones fiscales de los últimos 5 años, de los servidores públicos que determine la normatividad aplicable;</w:t>
            </w:r>
          </w:p>
        </w:tc>
        <w:tc>
          <w:tcPr>
            <w:tcW w:w="1275" w:type="dxa"/>
            <w:vAlign w:val="center"/>
          </w:tcPr>
          <w:p w:rsidR="0054446D"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54446D"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553C82" w:rsidRPr="00645D98" w:rsidTr="000D230C">
        <w:tc>
          <w:tcPr>
            <w:tcW w:w="1129" w:type="dxa"/>
          </w:tcPr>
          <w:p w:rsidR="00645D98" w:rsidRPr="00645D98" w:rsidRDefault="00645D98" w:rsidP="00645D98">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XII</w:t>
            </w:r>
            <w:r w:rsidR="004A6841">
              <w:rPr>
                <w:rFonts w:ascii="Century Gothic" w:hAnsi="Century Gothic" w:cs="Calibri-BoldItalic"/>
                <w:bCs/>
                <w:iCs/>
                <w:sz w:val="16"/>
                <w:szCs w:val="16"/>
              </w:rPr>
              <w:t>I</w:t>
            </w:r>
          </w:p>
        </w:tc>
        <w:tc>
          <w:tcPr>
            <w:tcW w:w="3828" w:type="dxa"/>
          </w:tcPr>
          <w:p w:rsidR="00645D98" w:rsidRPr="004A6841" w:rsidRDefault="004A6841" w:rsidP="00645D98">
            <w:pPr>
              <w:autoSpaceDE w:val="0"/>
              <w:autoSpaceDN w:val="0"/>
              <w:adjustRightInd w:val="0"/>
              <w:jc w:val="both"/>
              <w:rPr>
                <w:rFonts w:ascii="Century Gothic" w:hAnsi="Century Gothic" w:cs="Calibri-BoldItalic"/>
                <w:bCs/>
                <w:iCs/>
                <w:sz w:val="16"/>
                <w:szCs w:val="16"/>
              </w:rPr>
            </w:pPr>
            <w:r w:rsidRPr="004A6841">
              <w:rPr>
                <w:rFonts w:ascii="Century Gothic" w:hAnsi="Century Gothic"/>
                <w:sz w:val="16"/>
              </w:rPr>
              <w:t>El domicilio de la Unidad de Transparencia, además de la dirección electrónica donde podrán recibirse las solicitudes para obtener la información;</w:t>
            </w:r>
          </w:p>
        </w:tc>
        <w:tc>
          <w:tcPr>
            <w:tcW w:w="1275" w:type="dxa"/>
            <w:vAlign w:val="center"/>
          </w:tcPr>
          <w:p w:rsidR="00645D98"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45D98"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45D98"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Transparencia y Acceso a la Información Pública</w:t>
            </w:r>
          </w:p>
        </w:tc>
      </w:tr>
      <w:tr w:rsidR="00553C82" w:rsidRPr="00645D98" w:rsidTr="000D230C">
        <w:tc>
          <w:tcPr>
            <w:tcW w:w="1129" w:type="dxa"/>
          </w:tcPr>
          <w:p w:rsidR="00645D98" w:rsidRPr="00645D98" w:rsidRDefault="00645D98" w:rsidP="00645D98">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XIV</w:t>
            </w:r>
          </w:p>
        </w:tc>
        <w:tc>
          <w:tcPr>
            <w:tcW w:w="3828" w:type="dxa"/>
          </w:tcPr>
          <w:p w:rsidR="00645D98" w:rsidRPr="004A6841" w:rsidRDefault="004A6841" w:rsidP="00645D98">
            <w:pPr>
              <w:autoSpaceDE w:val="0"/>
              <w:autoSpaceDN w:val="0"/>
              <w:adjustRightInd w:val="0"/>
              <w:jc w:val="both"/>
              <w:rPr>
                <w:rFonts w:ascii="Century Gothic" w:hAnsi="Century Gothic" w:cs="Calibri-BoldItalic"/>
                <w:bCs/>
                <w:iCs/>
                <w:sz w:val="16"/>
                <w:szCs w:val="16"/>
              </w:rPr>
            </w:pPr>
            <w:r w:rsidRPr="004A6841">
              <w:rPr>
                <w:rFonts w:ascii="Century Gothic" w:hAnsi="Century Gothic"/>
                <w:sz w:val="16"/>
              </w:rPr>
              <w:t>Las convocatorias a concursos para ocupar cargos públicos, los requisitos, los procesos de selección, evaluación y los resultados de los mismos;</w:t>
            </w:r>
          </w:p>
        </w:tc>
        <w:tc>
          <w:tcPr>
            <w:tcW w:w="1275" w:type="dxa"/>
            <w:vAlign w:val="center"/>
          </w:tcPr>
          <w:p w:rsidR="00645D98" w:rsidRPr="00645D98" w:rsidRDefault="00920ED4" w:rsidP="00920ED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45D98"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45D98" w:rsidRPr="00645D98" w:rsidRDefault="0012560D" w:rsidP="0012560D">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XV</w:t>
            </w:r>
          </w:p>
        </w:tc>
        <w:tc>
          <w:tcPr>
            <w:tcW w:w="3828" w:type="dxa"/>
            <w:vAlign w:val="center"/>
          </w:tcPr>
          <w:p w:rsidR="000D230C" w:rsidRPr="004A6841" w:rsidRDefault="000D230C" w:rsidP="00106B20">
            <w:pPr>
              <w:autoSpaceDE w:val="0"/>
              <w:autoSpaceDN w:val="0"/>
              <w:adjustRightInd w:val="0"/>
              <w:jc w:val="both"/>
              <w:rPr>
                <w:rFonts w:ascii="Century Gothic" w:hAnsi="Century Gothic"/>
                <w:sz w:val="16"/>
              </w:rPr>
            </w:pPr>
            <w:r w:rsidRPr="00106B20">
              <w:rPr>
                <w:rFonts w:ascii="Century Gothic" w:hAnsi="Century Gothic" w:cs="Calibri-BoldItalic"/>
                <w:bCs/>
                <w:iCs/>
                <w:sz w:val="16"/>
                <w:szCs w:val="16"/>
              </w:rPr>
              <w:t>La información de los programas de subsidios, estímulos y apoyos en que se deberá informar respecto de los programas de transferencia, de servicios, de infraestructura, social y de subsidios, en los que se deberá contener lo siguiente: A. Área, B. Padrón de beneficiados…</w:t>
            </w:r>
          </w:p>
        </w:tc>
        <w:tc>
          <w:tcPr>
            <w:tcW w:w="1275" w:type="dxa"/>
            <w:vAlign w:val="center"/>
          </w:tcPr>
          <w:p w:rsidR="000D230C"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0D230C"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vAlign w:val="center"/>
          </w:tcPr>
          <w:p w:rsidR="000D230C" w:rsidRDefault="000D230C" w:rsidP="000D230C">
            <w:pPr>
              <w:autoSpaceDE w:val="0"/>
              <w:autoSpaceDN w:val="0"/>
              <w:adjustRightInd w:val="0"/>
              <w:jc w:val="both"/>
              <w:rPr>
                <w:rFonts w:ascii="Century Gothic" w:hAnsi="Century Gothic" w:cs="Calibri-BoldItalic"/>
                <w:bCs/>
                <w:iCs/>
                <w:sz w:val="16"/>
                <w:szCs w:val="16"/>
              </w:rPr>
            </w:pPr>
            <w:r w:rsidRPr="00920ED4">
              <w:rPr>
                <w:rFonts w:ascii="Century Gothic" w:hAnsi="Century Gothic" w:cs="Calibri-BoldItalic"/>
                <w:bCs/>
                <w:iCs/>
                <w:sz w:val="16"/>
                <w:szCs w:val="16"/>
              </w:rPr>
              <w:t>Ninguna de las facultades, atribuciones, funciones y/u obligaciones del Instituto</w:t>
            </w:r>
            <w:r>
              <w:rPr>
                <w:rFonts w:ascii="Century Gothic" w:hAnsi="Century Gothic" w:cs="Calibri-BoldItalic"/>
                <w:bCs/>
                <w:iCs/>
                <w:sz w:val="16"/>
                <w:szCs w:val="16"/>
              </w:rPr>
              <w:t xml:space="preserve"> según La ley del mismo,</w:t>
            </w:r>
            <w:r w:rsidRPr="00920ED4">
              <w:rPr>
                <w:rFonts w:ascii="Century Gothic" w:hAnsi="Century Gothic" w:cs="Calibri-BoldItalic"/>
                <w:bCs/>
                <w:iCs/>
                <w:sz w:val="16"/>
                <w:szCs w:val="16"/>
              </w:rPr>
              <w:t xml:space="preserve"> guarda relación con el desarrollo o regulación de programas dirigidos s la población que impliquen subsidios, estímulos y apoyos en efectivo o en especie, para incidir en su bienestar y desarrollo social señalados en el artículo 12 de la Ley para el Desarrollo Social del Estado de Quintana Roo; por lo que el Instituto no posee ni genera información acerca de programas sociales desarrollados o regulados por la misma.</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XVI</w:t>
            </w:r>
          </w:p>
        </w:tc>
        <w:tc>
          <w:tcPr>
            <w:tcW w:w="3828" w:type="dxa"/>
          </w:tcPr>
          <w:p w:rsidR="000D230C" w:rsidRPr="00645D98" w:rsidRDefault="000D230C" w:rsidP="000D230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Condiciones generales de trabajo, contratos o convenios que regulen las relaciones laborales del personal de base o de confianza, así como los recursos públicos económicos, en especie o donativos, que sean entregados a los sindicatos y ejerzan como recursos públicos. </w:t>
            </w:r>
          </w:p>
        </w:tc>
        <w:tc>
          <w:tcPr>
            <w:tcW w:w="1275" w:type="dxa"/>
            <w:vAlign w:val="center"/>
          </w:tcPr>
          <w:p w:rsidR="000D230C"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334F28" w:rsidP="00334F28">
            <w:pPr>
              <w:autoSpaceDE w:val="0"/>
              <w:autoSpaceDN w:val="0"/>
              <w:adjustRightInd w:val="0"/>
              <w:jc w:val="center"/>
              <w:rPr>
                <w:rFonts w:ascii="Century Gothic" w:hAnsi="Century Gothic" w:cs="Calibri-BoldItalic"/>
                <w:bCs/>
                <w:iCs/>
                <w:sz w:val="16"/>
                <w:szCs w:val="16"/>
              </w:rPr>
            </w:pPr>
            <w:r w:rsidRPr="001A030B">
              <w:rPr>
                <w:rFonts w:ascii="Century Gothic" w:hAnsi="Century Gothic" w:cs="Calibri-BoldItalic"/>
                <w:bCs/>
                <w:iCs/>
                <w:sz w:val="16"/>
                <w:szCs w:val="16"/>
              </w:rPr>
              <w:t>Dirección Jurídica</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XVII</w:t>
            </w:r>
          </w:p>
        </w:tc>
        <w:tc>
          <w:tcPr>
            <w:tcW w:w="3828" w:type="dxa"/>
          </w:tcPr>
          <w:p w:rsidR="000D230C" w:rsidRPr="00645D98" w:rsidRDefault="000D230C" w:rsidP="000D230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La información curricular desde el nivel de jefe de departamento o equivalente hasta el titular del Sujeto Obligado, así como en su caso, las sanciones administrativas que haya sido objeto. </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XVIII</w:t>
            </w:r>
          </w:p>
        </w:tc>
        <w:tc>
          <w:tcPr>
            <w:tcW w:w="3828" w:type="dxa"/>
            <w:vAlign w:val="center"/>
          </w:tcPr>
          <w:p w:rsidR="000D230C" w:rsidRPr="00645D98" w:rsidRDefault="000D230C"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El listado de los servidores públicos con sanciones administrativas definitivas, especificando la caus</w:t>
            </w:r>
            <w:r w:rsidR="001A030B">
              <w:rPr>
                <w:rFonts w:ascii="Century Gothic" w:hAnsi="Century Gothic" w:cs="Calibri-BoldItalic"/>
                <w:bCs/>
                <w:iCs/>
                <w:sz w:val="16"/>
                <w:szCs w:val="16"/>
              </w:rPr>
              <w:t>a de sanción y la disposición.</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sidRPr="00645D98">
              <w:rPr>
                <w:rFonts w:ascii="Century Gothic" w:hAnsi="Century Gothic" w:cs="Calibri-BoldItalic"/>
                <w:bCs/>
                <w:iCs/>
                <w:sz w:val="16"/>
                <w:szCs w:val="16"/>
              </w:rPr>
              <w:t>XIX</w:t>
            </w:r>
          </w:p>
        </w:tc>
        <w:tc>
          <w:tcPr>
            <w:tcW w:w="3828" w:type="dxa"/>
            <w:vAlign w:val="center"/>
          </w:tcPr>
          <w:p w:rsidR="000D230C" w:rsidRPr="00645D98" w:rsidRDefault="000D230C"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Los servicios que ofrecen señalando los requisitos para acceder a ellos. </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Transparencia y Acceso a la Información Pública.</w:t>
            </w:r>
          </w:p>
        </w:tc>
      </w:tr>
      <w:tr w:rsidR="000D230C" w:rsidRPr="00645D98" w:rsidTr="00C210E6">
        <w:tc>
          <w:tcPr>
            <w:tcW w:w="1129" w:type="dxa"/>
            <w:vAlign w:val="center"/>
          </w:tcPr>
          <w:p w:rsidR="000D230C" w:rsidRPr="00645D98" w:rsidRDefault="000D230C" w:rsidP="00C210E6">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w:t>
            </w:r>
          </w:p>
        </w:tc>
        <w:tc>
          <w:tcPr>
            <w:tcW w:w="3828" w:type="dxa"/>
            <w:vAlign w:val="center"/>
          </w:tcPr>
          <w:p w:rsidR="000D230C" w:rsidRPr="00645D98" w:rsidRDefault="000D230C"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Los trámites, requisitos y formatos que ofrecen.</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Transparencia y Acceso a la Información Pública</w:t>
            </w:r>
          </w:p>
        </w:tc>
      </w:tr>
      <w:tr w:rsidR="000D230C" w:rsidRPr="00645D98" w:rsidTr="00561649">
        <w:tc>
          <w:tcPr>
            <w:tcW w:w="1129" w:type="dxa"/>
            <w:vAlign w:val="center"/>
          </w:tcPr>
          <w:p w:rsidR="000D230C" w:rsidRPr="00645D98" w:rsidRDefault="000D230C" w:rsidP="00561649">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XXI</w:t>
            </w:r>
          </w:p>
        </w:tc>
        <w:tc>
          <w:tcPr>
            <w:tcW w:w="3828" w:type="dxa"/>
          </w:tcPr>
          <w:p w:rsidR="000D230C" w:rsidRPr="00645D98" w:rsidRDefault="000D230C" w:rsidP="000D230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La información financiera, sobre el presupuesto asignado, así como los informes del ejercicio trimestral del gasto, en términos de la Ley General de Contabilidad Gubernamental y demás normativa aplicable. </w:t>
            </w:r>
          </w:p>
        </w:tc>
        <w:tc>
          <w:tcPr>
            <w:tcW w:w="1275" w:type="dxa"/>
            <w:vAlign w:val="center"/>
          </w:tcPr>
          <w:p w:rsidR="000D230C" w:rsidRDefault="000D230C" w:rsidP="00F3336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A (anual)</w:t>
            </w:r>
          </w:p>
          <w:p w:rsidR="000D230C" w:rsidRDefault="000D230C" w:rsidP="00F3336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B (trimestral)</w:t>
            </w:r>
          </w:p>
          <w:p w:rsidR="000D230C" w:rsidRPr="00645D98" w:rsidRDefault="000D230C" w:rsidP="00F3336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C (anual)</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9319C0" w:rsidP="009319C0">
            <w:pPr>
              <w:autoSpaceDE w:val="0"/>
              <w:autoSpaceDN w:val="0"/>
              <w:adjustRightInd w:val="0"/>
              <w:jc w:val="center"/>
              <w:rPr>
                <w:rFonts w:ascii="Century Gothic" w:hAnsi="Century Gothic" w:cs="Calibri-BoldItalic"/>
                <w:bCs/>
                <w:iCs/>
                <w:sz w:val="16"/>
                <w:szCs w:val="16"/>
              </w:rPr>
            </w:pPr>
            <w:r w:rsidRPr="001A030B">
              <w:rPr>
                <w:rFonts w:ascii="Century Gothic" w:hAnsi="Century Gothic" w:cs="Calibri-BoldItalic"/>
                <w:bCs/>
                <w:iCs/>
                <w:sz w:val="16"/>
                <w:szCs w:val="16"/>
              </w:rPr>
              <w:t>Dirección Financiera</w:t>
            </w:r>
          </w:p>
        </w:tc>
      </w:tr>
      <w:tr w:rsidR="000D230C" w:rsidRPr="00645D98" w:rsidTr="00561649">
        <w:tc>
          <w:tcPr>
            <w:tcW w:w="1129" w:type="dxa"/>
            <w:vAlign w:val="center"/>
          </w:tcPr>
          <w:p w:rsidR="000D230C" w:rsidRPr="00645D98" w:rsidRDefault="000D230C" w:rsidP="00561649">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lastRenderedPageBreak/>
              <w:t>XXII</w:t>
            </w:r>
          </w:p>
        </w:tc>
        <w:tc>
          <w:tcPr>
            <w:tcW w:w="3828" w:type="dxa"/>
            <w:vAlign w:val="center"/>
          </w:tcPr>
          <w:p w:rsidR="000D230C" w:rsidRPr="00645D98" w:rsidRDefault="000D230C"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La información relativa a la deuda Pública, en términos de la normatividad aplicable.</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7A07A3"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 xml:space="preserve">No </w:t>
            </w:r>
            <w:r w:rsidR="000D230C">
              <w:rPr>
                <w:rFonts w:ascii="Century Gothic" w:hAnsi="Century Gothic" w:cs="Calibri-BoldItalic"/>
                <w:bCs/>
                <w:iCs/>
                <w:sz w:val="16"/>
                <w:szCs w:val="16"/>
              </w:rPr>
              <w:t>Aplica</w:t>
            </w:r>
          </w:p>
        </w:tc>
        <w:tc>
          <w:tcPr>
            <w:tcW w:w="3118" w:type="dxa"/>
          </w:tcPr>
          <w:p w:rsidR="000D230C" w:rsidRPr="00561649" w:rsidRDefault="00561649" w:rsidP="00462270">
            <w:pPr>
              <w:pStyle w:val="NormalWeb"/>
              <w:spacing w:before="0" w:beforeAutospacing="0" w:after="0" w:afterAutospacing="0"/>
              <w:jc w:val="both"/>
              <w:textAlignment w:val="top"/>
              <w:rPr>
                <w:rFonts w:ascii="Century Gothic" w:hAnsi="Century Gothic"/>
                <w:color w:val="000000"/>
                <w:sz w:val="16"/>
              </w:rPr>
            </w:pPr>
            <w:r>
              <w:rPr>
                <w:rFonts w:ascii="Century Gothic" w:hAnsi="Century Gothic"/>
                <w:bCs/>
                <w:color w:val="000000"/>
                <w:sz w:val="16"/>
                <w:bdr w:val="none" w:sz="0" w:space="0" w:color="auto" w:frame="1"/>
              </w:rPr>
              <w:t xml:space="preserve">De </w:t>
            </w:r>
            <w:r w:rsidRPr="00240E35">
              <w:rPr>
                <w:rFonts w:ascii="Century Gothic" w:hAnsi="Century Gothic"/>
                <w:bCs/>
                <w:color w:val="000000"/>
                <w:sz w:val="16"/>
                <w:bdr w:val="none" w:sz="0" w:space="0" w:color="auto" w:frame="1"/>
              </w:rPr>
              <w:t xml:space="preserve">acuerdo a lo señalado en el artículo 19 fracción XIII de la Ley Orgánica de la Administración Pública del Estado de Quintana Roo, no se encuentra facultada para contraer deuda pública, puesto que conforme a lo establecido en los artículos 2 fracción I, 5, 11 fracción V, 12 Ter fracción II y 18, último párrafo, de la Ley de Deuda Pública del Estado de Quintana Roo, </w:t>
            </w:r>
            <w:r w:rsidR="00462270">
              <w:rPr>
                <w:rFonts w:ascii="Century Gothic" w:hAnsi="Century Gothic"/>
                <w:bCs/>
                <w:color w:val="000000"/>
                <w:sz w:val="16"/>
                <w:bdr w:val="none" w:sz="0" w:space="0" w:color="auto" w:frame="1"/>
              </w:rPr>
              <w:t xml:space="preserve"> </w:t>
            </w:r>
            <w:r w:rsidRPr="00240E35">
              <w:rPr>
                <w:rFonts w:ascii="Century Gothic" w:hAnsi="Century Gothic"/>
                <w:bCs/>
                <w:color w:val="000000"/>
                <w:sz w:val="16"/>
                <w:bdr w:val="none" w:sz="0" w:space="0" w:color="auto" w:frame="1"/>
              </w:rPr>
              <w:t>el Gobierno del Estado únicamente podrá contratar empréstitos, que constituyan deuda pública, a través de la Secretaría de Finanzas y Planeación, o con el mencionado Instituto, previa aprobación de la Legislatura del Estado. Por lo que no posee, no ha poseído ni poseerá información acerca de la deuda pública. Es decir en ningún momento generará dicha información.</w:t>
            </w:r>
          </w:p>
        </w:tc>
      </w:tr>
      <w:tr w:rsidR="000D230C" w:rsidRPr="00645D98" w:rsidTr="006F0A1B">
        <w:tc>
          <w:tcPr>
            <w:tcW w:w="1129"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XXIII</w:t>
            </w:r>
          </w:p>
        </w:tc>
        <w:tc>
          <w:tcPr>
            <w:tcW w:w="3828" w:type="dxa"/>
            <w:vAlign w:val="center"/>
          </w:tcPr>
          <w:p w:rsidR="000D230C" w:rsidRPr="00645D98" w:rsidRDefault="000D230C"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Los montos designados a gastos relativos a comunicación social y publicidad oficial desglosada por tipo de medio, proveedores, número de contrato y concepto o campaña.</w:t>
            </w:r>
          </w:p>
        </w:tc>
        <w:tc>
          <w:tcPr>
            <w:tcW w:w="1275" w:type="dxa"/>
            <w:vAlign w:val="center"/>
          </w:tcPr>
          <w:p w:rsidR="000D230C" w:rsidRDefault="000D230C"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A (anual)</w:t>
            </w:r>
          </w:p>
          <w:p w:rsidR="000D230C" w:rsidRDefault="000D230C"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B (trimestral)</w:t>
            </w:r>
          </w:p>
          <w:p w:rsidR="000D230C" w:rsidRDefault="000D230C"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C (trimestral)</w:t>
            </w:r>
          </w:p>
          <w:p w:rsidR="000D230C" w:rsidRPr="00645D98" w:rsidRDefault="000D230C"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D (trimestral)</w:t>
            </w:r>
          </w:p>
        </w:tc>
        <w:tc>
          <w:tcPr>
            <w:tcW w:w="1418" w:type="dxa"/>
            <w:vAlign w:val="center"/>
          </w:tcPr>
          <w:p w:rsidR="000D230C" w:rsidRPr="00645D98" w:rsidRDefault="006F0A1B"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6F0A1B" w:rsidP="006F0A1B">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Promoción y Relaciones Públicas.</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XXIV</w:t>
            </w:r>
          </w:p>
        </w:tc>
        <w:tc>
          <w:tcPr>
            <w:tcW w:w="3828" w:type="dxa"/>
          </w:tcPr>
          <w:p w:rsidR="000D230C" w:rsidRPr="00645D98" w:rsidRDefault="000D230C" w:rsidP="000D230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Los informes de resultados de las auditorías al ejercicio presupuestal de cada sujeto obligado que se realicen y en su caso, las aclaraciones que correspondan.</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1A030B" w:rsidP="009319C0">
            <w:pPr>
              <w:autoSpaceDE w:val="0"/>
              <w:autoSpaceDN w:val="0"/>
              <w:adjustRightInd w:val="0"/>
              <w:jc w:val="center"/>
              <w:rPr>
                <w:rFonts w:ascii="Century Gothic" w:hAnsi="Century Gothic" w:cs="Calibri-BoldItalic"/>
                <w:bCs/>
                <w:iCs/>
                <w:sz w:val="16"/>
                <w:szCs w:val="16"/>
              </w:rPr>
            </w:pPr>
            <w:r w:rsidRPr="001A030B">
              <w:rPr>
                <w:rFonts w:ascii="Century Gothic" w:hAnsi="Century Gothic" w:cs="Calibri-BoldItalic"/>
                <w:bCs/>
                <w:iCs/>
                <w:sz w:val="16"/>
                <w:szCs w:val="16"/>
              </w:rPr>
              <w:t>Dirección Financiera</w:t>
            </w:r>
          </w:p>
        </w:tc>
      </w:tr>
      <w:tr w:rsidR="000D230C" w:rsidRPr="00645D98" w:rsidTr="000D230C">
        <w:tc>
          <w:tcPr>
            <w:tcW w:w="1129" w:type="dxa"/>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XXV</w:t>
            </w:r>
          </w:p>
        </w:tc>
        <w:tc>
          <w:tcPr>
            <w:tcW w:w="3828" w:type="dxa"/>
          </w:tcPr>
          <w:p w:rsidR="000D230C" w:rsidRPr="00645D98" w:rsidRDefault="000D230C" w:rsidP="000D230C">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El resultado de la dictaminación de los estados financieros. </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0D230C" w:rsidRPr="00645D98" w:rsidRDefault="001A030B" w:rsidP="000D230C">
            <w:pPr>
              <w:autoSpaceDE w:val="0"/>
              <w:autoSpaceDN w:val="0"/>
              <w:adjustRightInd w:val="0"/>
              <w:jc w:val="center"/>
              <w:rPr>
                <w:rFonts w:ascii="Century Gothic" w:hAnsi="Century Gothic" w:cs="Calibri-BoldItalic"/>
                <w:bCs/>
                <w:iCs/>
                <w:sz w:val="16"/>
                <w:szCs w:val="16"/>
              </w:rPr>
            </w:pPr>
            <w:r w:rsidRPr="001A030B">
              <w:rPr>
                <w:rFonts w:ascii="Century Gothic" w:hAnsi="Century Gothic" w:cs="Calibri-BoldItalic"/>
                <w:bCs/>
                <w:iCs/>
                <w:sz w:val="16"/>
                <w:szCs w:val="16"/>
              </w:rPr>
              <w:t>Dirección Financiera</w:t>
            </w:r>
          </w:p>
        </w:tc>
      </w:tr>
      <w:tr w:rsidR="000D230C" w:rsidRPr="00645D98" w:rsidTr="00106B20">
        <w:tc>
          <w:tcPr>
            <w:tcW w:w="1129"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XXVI</w:t>
            </w:r>
          </w:p>
        </w:tc>
        <w:tc>
          <w:tcPr>
            <w:tcW w:w="3828" w:type="dxa"/>
            <w:vAlign w:val="center"/>
          </w:tcPr>
          <w:p w:rsidR="000D230C" w:rsidRPr="00645D98" w:rsidRDefault="000D230C"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275" w:type="dxa"/>
            <w:vAlign w:val="center"/>
          </w:tcPr>
          <w:p w:rsidR="000D230C" w:rsidRPr="00645D98" w:rsidRDefault="000D230C"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0D230C" w:rsidRPr="00645D98" w:rsidRDefault="00106B20" w:rsidP="000D230C">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 xml:space="preserve">No </w:t>
            </w:r>
            <w:r w:rsidR="000D230C">
              <w:rPr>
                <w:rFonts w:ascii="Century Gothic" w:hAnsi="Century Gothic" w:cs="Calibri-BoldItalic"/>
                <w:bCs/>
                <w:iCs/>
                <w:sz w:val="16"/>
                <w:szCs w:val="16"/>
              </w:rPr>
              <w:t>Aplica</w:t>
            </w:r>
          </w:p>
        </w:tc>
        <w:tc>
          <w:tcPr>
            <w:tcW w:w="3118" w:type="dxa"/>
            <w:vAlign w:val="center"/>
          </w:tcPr>
          <w:p w:rsidR="000D230C" w:rsidRPr="00106B20" w:rsidRDefault="00106B20" w:rsidP="00106B20">
            <w:pPr>
              <w:autoSpaceDE w:val="0"/>
              <w:autoSpaceDN w:val="0"/>
              <w:adjustRightInd w:val="0"/>
              <w:jc w:val="both"/>
              <w:rPr>
                <w:rFonts w:ascii="Century Gothic" w:hAnsi="Century Gothic"/>
                <w:color w:val="000000"/>
                <w:sz w:val="16"/>
              </w:rPr>
            </w:pPr>
            <w:r w:rsidRPr="00106B20">
              <w:rPr>
                <w:rFonts w:ascii="Century Gothic" w:hAnsi="Century Gothic"/>
                <w:color w:val="000000"/>
                <w:sz w:val="16"/>
              </w:rPr>
              <w:t>Ninguna de las facultades, atribuciones, funciones y/u obligaciones del Instituto se relaciona con la asignación o permiso de uso de recursos públicos a personas físicas o morales, nacionales o extranjeras, sindicatos y personas físicas o morales que realicen actos de autoridad, bajo designación presupuestal especial y especifica o por cualquier motivo.</w:t>
            </w:r>
          </w:p>
        </w:tc>
      </w:tr>
      <w:tr w:rsidR="00106B20" w:rsidRPr="00645D98" w:rsidTr="00106B20">
        <w:tc>
          <w:tcPr>
            <w:tcW w:w="1129"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XXVII</w:t>
            </w:r>
          </w:p>
        </w:tc>
        <w:tc>
          <w:tcPr>
            <w:tcW w:w="3828" w:type="dxa"/>
            <w:vAlign w:val="center"/>
          </w:tcPr>
          <w:p w:rsidR="00106B20" w:rsidRPr="00645D98" w:rsidRDefault="00106B20"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Las concesiones, contratos, convenios, permisos, licencias o autorizaciones otorgados, especificando los titulares de aquellos, debiendo publicarse su objeto, nombre, razón social del titular, vigencia, tipo, términos, condiciones, montos y modificaciones, así como si el procedimiento involucra el aprovechamiento de bienes, servicios y/o recursos públicos.</w:t>
            </w:r>
          </w:p>
        </w:tc>
        <w:tc>
          <w:tcPr>
            <w:tcW w:w="1275"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vAlign w:val="center"/>
          </w:tcPr>
          <w:p w:rsidR="00106B20" w:rsidRPr="00106B20" w:rsidRDefault="00106B20" w:rsidP="00106B20">
            <w:pPr>
              <w:autoSpaceDE w:val="0"/>
              <w:autoSpaceDN w:val="0"/>
              <w:adjustRightInd w:val="0"/>
              <w:jc w:val="both"/>
              <w:rPr>
                <w:rFonts w:ascii="Century Gothic" w:hAnsi="Century Gothic"/>
                <w:color w:val="000000"/>
                <w:sz w:val="16"/>
              </w:rPr>
            </w:pPr>
            <w:r>
              <w:rPr>
                <w:rFonts w:ascii="Century Gothic" w:hAnsi="Century Gothic"/>
                <w:color w:val="000000"/>
                <w:sz w:val="16"/>
              </w:rPr>
              <w:t>El</w:t>
            </w:r>
            <w:r w:rsidRPr="00106B20">
              <w:rPr>
                <w:rFonts w:ascii="Century Gothic" w:hAnsi="Century Gothic"/>
                <w:color w:val="000000"/>
                <w:sz w:val="16"/>
              </w:rPr>
              <w:t xml:space="preserve"> Instituto, no tiene dentro de las atribuciones, facultades, competencias y funciones que se señalan en la Ley del Instituto para el Desarrollo y Financiamiento del Estado de Quintana Roo, el otorgamiento de concesiones, permisos, licencia y autorizaciones. Y por lo que respecta a los contratos y convenios, solamente se encuentra facultada para celebrar los procedimientos de adjudicación directa, invitación restringida y licitación pública. En consecuencia, no posee, no ha poseído ni poseerá información referente a contratos celebrados con cargo total o parcial a recursos públicos, ni convenios, distintos a los regulados por la Ley de Adquisiciones, Arrendamientos y Prestación de Servicios Relacionados con Bienes Muebles del Estado de </w:t>
            </w:r>
            <w:r w:rsidRPr="00106B20">
              <w:rPr>
                <w:rFonts w:ascii="Century Gothic" w:hAnsi="Century Gothic"/>
                <w:color w:val="000000"/>
                <w:sz w:val="16"/>
              </w:rPr>
              <w:lastRenderedPageBreak/>
              <w:t>Quintana Roo. Por ende, en ningún momento generará dicha información.</w:t>
            </w:r>
          </w:p>
          <w:p w:rsidR="00106B20" w:rsidRPr="00106B20" w:rsidRDefault="00106B20" w:rsidP="00106B20">
            <w:pPr>
              <w:autoSpaceDE w:val="0"/>
              <w:autoSpaceDN w:val="0"/>
              <w:adjustRightInd w:val="0"/>
              <w:jc w:val="both"/>
              <w:rPr>
                <w:rFonts w:ascii="Century Gothic" w:hAnsi="Century Gothic"/>
                <w:color w:val="000000"/>
                <w:sz w:val="16"/>
              </w:rPr>
            </w:pPr>
          </w:p>
        </w:tc>
      </w:tr>
      <w:tr w:rsidR="00106B20" w:rsidRPr="00645D98" w:rsidTr="00625D63">
        <w:tc>
          <w:tcPr>
            <w:tcW w:w="1129" w:type="dxa"/>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lastRenderedPageBreak/>
              <w:t>XXVIII</w:t>
            </w:r>
          </w:p>
        </w:tc>
        <w:tc>
          <w:tcPr>
            <w:tcW w:w="3828" w:type="dxa"/>
          </w:tcPr>
          <w:p w:rsidR="00106B20" w:rsidRPr="00645D98" w:rsidRDefault="00106B20"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La información sobre los resultados de adjudicación directa, invitación restringida, y licitación de cualquier naturaleza, incluyendo la Versión Pública del Expediente Respectivo y de los contratos celebrados.</w:t>
            </w:r>
          </w:p>
        </w:tc>
        <w:tc>
          <w:tcPr>
            <w:tcW w:w="1275" w:type="dxa"/>
            <w:vAlign w:val="center"/>
          </w:tcPr>
          <w:p w:rsidR="00106B20" w:rsidRDefault="00A2349F" w:rsidP="00A2349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A2349F" w:rsidRPr="00645D98" w:rsidRDefault="00A2349F" w:rsidP="00A2349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106B20" w:rsidRPr="00645D98" w:rsidRDefault="001A030B" w:rsidP="00106B20">
            <w:pPr>
              <w:autoSpaceDE w:val="0"/>
              <w:autoSpaceDN w:val="0"/>
              <w:adjustRightInd w:val="0"/>
              <w:jc w:val="center"/>
              <w:rPr>
                <w:rFonts w:ascii="Century Gothic" w:hAnsi="Century Gothic" w:cs="Calibri-BoldItalic"/>
                <w:bCs/>
                <w:iCs/>
                <w:sz w:val="16"/>
                <w:szCs w:val="16"/>
              </w:rPr>
            </w:pPr>
            <w:r w:rsidRPr="001A030B">
              <w:rPr>
                <w:rFonts w:ascii="Century Gothic" w:hAnsi="Century Gothic" w:cs="Calibri-BoldItalic"/>
                <w:bCs/>
                <w:iCs/>
                <w:sz w:val="16"/>
                <w:szCs w:val="16"/>
              </w:rPr>
              <w:t>Dirección Financiera</w:t>
            </w:r>
          </w:p>
        </w:tc>
      </w:tr>
      <w:tr w:rsidR="00106B20" w:rsidRPr="00645D98" w:rsidTr="004B71C1">
        <w:tc>
          <w:tcPr>
            <w:tcW w:w="1129" w:type="dxa"/>
          </w:tcPr>
          <w:p w:rsidR="00106B20"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XXIX</w:t>
            </w:r>
          </w:p>
        </w:tc>
        <w:tc>
          <w:tcPr>
            <w:tcW w:w="3828" w:type="dxa"/>
          </w:tcPr>
          <w:p w:rsidR="00106B20" w:rsidRPr="00645D98" w:rsidRDefault="00106B20" w:rsidP="00106B20">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Los informes que por disposición legal genere el sujeto obligado. </w:t>
            </w:r>
          </w:p>
        </w:tc>
        <w:tc>
          <w:tcPr>
            <w:tcW w:w="1275"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106B20" w:rsidRPr="00645D98" w:rsidRDefault="006A2C14"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Secretaria Técnica</w:t>
            </w:r>
          </w:p>
        </w:tc>
      </w:tr>
      <w:tr w:rsidR="00106B20" w:rsidRPr="00645D98" w:rsidTr="00F16C5F">
        <w:tc>
          <w:tcPr>
            <w:tcW w:w="1129" w:type="dxa"/>
            <w:vAlign w:val="center"/>
          </w:tcPr>
          <w:p w:rsidR="00106B20"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w:t>
            </w:r>
          </w:p>
        </w:tc>
        <w:tc>
          <w:tcPr>
            <w:tcW w:w="3828" w:type="dxa"/>
            <w:vAlign w:val="center"/>
          </w:tcPr>
          <w:p w:rsidR="00106B20" w:rsidRPr="00645D98" w:rsidRDefault="00106B20"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Las estadísticas que generen en cumplimiento de sus facultades, competencias o funciones con la mayor desagregación posible.</w:t>
            </w:r>
          </w:p>
        </w:tc>
        <w:tc>
          <w:tcPr>
            <w:tcW w:w="1275"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106B20" w:rsidRPr="00645D98" w:rsidRDefault="00106B20" w:rsidP="00106B2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vAlign w:val="center"/>
          </w:tcPr>
          <w:p w:rsidR="00106B20" w:rsidRPr="00645D98" w:rsidRDefault="00106B20" w:rsidP="00106B20">
            <w:pPr>
              <w:autoSpaceDE w:val="0"/>
              <w:autoSpaceDN w:val="0"/>
              <w:adjustRightInd w:val="0"/>
              <w:jc w:val="both"/>
              <w:rPr>
                <w:rFonts w:ascii="Century Gothic" w:hAnsi="Century Gothic" w:cs="Calibri-BoldItalic"/>
                <w:bCs/>
                <w:iCs/>
                <w:sz w:val="16"/>
                <w:szCs w:val="16"/>
              </w:rPr>
            </w:pPr>
            <w:r w:rsidRPr="00106B20">
              <w:rPr>
                <w:rFonts w:ascii="Century Gothic" w:hAnsi="Century Gothic" w:cs="Calibri-BoldItalic"/>
                <w:bCs/>
                <w:iCs/>
                <w:sz w:val="16"/>
                <w:szCs w:val="16"/>
              </w:rPr>
              <w:t xml:space="preserve">De conformidad con </w:t>
            </w:r>
            <w:r>
              <w:rPr>
                <w:rFonts w:ascii="Century Gothic" w:hAnsi="Century Gothic" w:cs="Calibri-BoldItalic"/>
                <w:bCs/>
                <w:iCs/>
                <w:sz w:val="16"/>
                <w:szCs w:val="16"/>
              </w:rPr>
              <w:t xml:space="preserve">las obligaciones derivadas de la Ley del Instituto, éste, </w:t>
            </w:r>
            <w:r w:rsidRPr="00106B20">
              <w:rPr>
                <w:rFonts w:ascii="Century Gothic" w:hAnsi="Century Gothic" w:cs="Calibri-BoldItalic"/>
                <w:bCs/>
                <w:iCs/>
                <w:sz w:val="16"/>
                <w:szCs w:val="16"/>
              </w:rPr>
              <w:t>no genera ni posee estadísticas en cumplimiento de sus facultades, competencias y funciones.</w:t>
            </w:r>
          </w:p>
        </w:tc>
      </w:tr>
      <w:tr w:rsidR="00106B20" w:rsidRPr="00645D98" w:rsidTr="006A2C14">
        <w:tc>
          <w:tcPr>
            <w:tcW w:w="1129" w:type="dxa"/>
            <w:vAlign w:val="center"/>
          </w:tcPr>
          <w:p w:rsidR="00106B20" w:rsidRDefault="00106B20"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XXXI</w:t>
            </w:r>
          </w:p>
        </w:tc>
        <w:tc>
          <w:tcPr>
            <w:tcW w:w="3828" w:type="dxa"/>
          </w:tcPr>
          <w:p w:rsidR="00106B20"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Informes de avances programáticos o presupuestales, balances generales y su estado financiero. </w:t>
            </w:r>
          </w:p>
        </w:tc>
        <w:tc>
          <w:tcPr>
            <w:tcW w:w="1275" w:type="dxa"/>
            <w:vAlign w:val="center"/>
          </w:tcPr>
          <w:p w:rsidR="00106B20"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106B20"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106B20" w:rsidRPr="00645D98" w:rsidRDefault="001A030B" w:rsidP="00106B20">
            <w:pPr>
              <w:autoSpaceDE w:val="0"/>
              <w:autoSpaceDN w:val="0"/>
              <w:adjustRightInd w:val="0"/>
              <w:jc w:val="center"/>
              <w:rPr>
                <w:rFonts w:ascii="Century Gothic" w:hAnsi="Century Gothic" w:cs="Calibri-BoldItalic"/>
                <w:bCs/>
                <w:iCs/>
                <w:sz w:val="16"/>
                <w:szCs w:val="16"/>
              </w:rPr>
            </w:pPr>
            <w:r w:rsidRPr="001A030B">
              <w:rPr>
                <w:rFonts w:ascii="Century Gothic" w:hAnsi="Century Gothic" w:cs="Calibri-BoldItalic"/>
                <w:bCs/>
                <w:iCs/>
                <w:sz w:val="16"/>
                <w:szCs w:val="16"/>
              </w:rPr>
              <w:t>Dirección Financiera</w:t>
            </w:r>
          </w:p>
        </w:tc>
      </w:tr>
      <w:tr w:rsidR="006A2C14" w:rsidRPr="00645D98" w:rsidTr="00232D79">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XXXII</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Padrón de proveedores y contratistas</w:t>
            </w:r>
          </w:p>
        </w:tc>
        <w:tc>
          <w:tcPr>
            <w:tcW w:w="1275"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A2C14" w:rsidRDefault="00232D79" w:rsidP="00232D79">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p w:rsidR="006A2C14" w:rsidRPr="00645D98" w:rsidRDefault="006A2C14" w:rsidP="00232D79">
            <w:pPr>
              <w:autoSpaceDE w:val="0"/>
              <w:autoSpaceDN w:val="0"/>
              <w:adjustRightInd w:val="0"/>
              <w:jc w:val="center"/>
              <w:rPr>
                <w:rFonts w:ascii="Century Gothic" w:hAnsi="Century Gothic" w:cs="Calibri-BoldItalic"/>
                <w:bCs/>
                <w:iCs/>
                <w:sz w:val="16"/>
                <w:szCs w:val="16"/>
              </w:rPr>
            </w:pPr>
          </w:p>
        </w:tc>
      </w:tr>
      <w:tr w:rsidR="006A2C14" w:rsidRPr="00645D98" w:rsidTr="009237FB">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XXXIII</w:t>
            </w:r>
          </w:p>
        </w:tc>
        <w:tc>
          <w:tcPr>
            <w:tcW w:w="3828" w:type="dxa"/>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Los convenios de coordinación de concertación con el sector social y Privado. </w:t>
            </w:r>
          </w:p>
        </w:tc>
        <w:tc>
          <w:tcPr>
            <w:tcW w:w="1275"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Proyectos</w:t>
            </w:r>
          </w:p>
        </w:tc>
      </w:tr>
      <w:tr w:rsidR="006A2C14" w:rsidRPr="00645D98" w:rsidTr="006A2C14">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XXXIV</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El inventario de bienes muebles e inmuebles en posesión y propiedad.</w:t>
            </w:r>
          </w:p>
        </w:tc>
        <w:tc>
          <w:tcPr>
            <w:tcW w:w="1275"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C</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E</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F</w:t>
            </w:r>
          </w:p>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G</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6A2C14" w:rsidRPr="00645D98" w:rsidTr="006A2C14">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XXXV</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Las recomendaciones emitidas por los órganos públicos del Estado Mexicano u organismos internacionales garantes de los derechos humanos, así como de las acciones que han llevado a cabo para su atención. </w:t>
            </w:r>
          </w:p>
        </w:tc>
        <w:tc>
          <w:tcPr>
            <w:tcW w:w="1275"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C</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Jurídica</w:t>
            </w:r>
          </w:p>
        </w:tc>
      </w:tr>
      <w:tr w:rsidR="006A2C14" w:rsidRPr="00645D98" w:rsidTr="006A2C14">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XXXVI</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Las resoluciones y laudos que se emitan en procesos o procedimientos seguidos en forma de juicio.  </w:t>
            </w:r>
          </w:p>
        </w:tc>
        <w:tc>
          <w:tcPr>
            <w:tcW w:w="1275"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Jurídica</w:t>
            </w:r>
          </w:p>
        </w:tc>
      </w:tr>
      <w:tr w:rsidR="006A2C14" w:rsidRPr="006A2C14" w:rsidTr="006A2C14">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XXXVII</w:t>
            </w:r>
          </w:p>
        </w:tc>
        <w:tc>
          <w:tcPr>
            <w:tcW w:w="382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Los mecanismos de participación ciudadana.</w:t>
            </w:r>
          </w:p>
        </w:tc>
        <w:tc>
          <w:tcPr>
            <w:tcW w:w="1275"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vAlign w:val="center"/>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sidRPr="006A2C14">
              <w:rPr>
                <w:rFonts w:ascii="Century Gothic" w:hAnsi="Century Gothic" w:cs="Calibri-BoldItalic"/>
                <w:bCs/>
                <w:iCs/>
                <w:sz w:val="16"/>
                <w:szCs w:val="16"/>
              </w:rPr>
              <w:t>El Instituto no realiza acciones que pretendan impulsar el desarrollo local y la democracia participativa, tales como actividades, acciones, informes, concursos, comités, sesiones, encuestas, consultas, foros, eventos, experiencias y demás mecanismos que permitan , convoquen o fomenten participación ciudadana institucional, informal, individual o en comité; en tal sentido el Instituto no posee ni genera dicha información.</w:t>
            </w:r>
          </w:p>
        </w:tc>
      </w:tr>
      <w:tr w:rsidR="006A2C14" w:rsidRPr="006A2C14" w:rsidTr="006A2C14">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XXXVIII</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Los Programas que ofrecen, incluyendo información sobre la población, objetivo y destino, así como los tramites tiempos de respuesta, requisitos y formatos para acceder a los mismos.</w:t>
            </w:r>
          </w:p>
        </w:tc>
        <w:tc>
          <w:tcPr>
            <w:tcW w:w="1275"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sidRPr="006A2C14">
              <w:rPr>
                <w:rFonts w:ascii="Century Gothic" w:hAnsi="Century Gothic" w:cs="Calibri-BoldItalic"/>
                <w:bCs/>
                <w:iCs/>
                <w:sz w:val="16"/>
                <w:szCs w:val="16"/>
              </w:rPr>
              <w:t>El Instituto no tiene atribuciones, facultades, competencias y funciones para el desarrollo de programas sociales, ni presupuesto para asignar a dichos programas, en tal sentido el Instituto no genera ni posee dicha información.</w:t>
            </w:r>
          </w:p>
        </w:tc>
      </w:tr>
      <w:tr w:rsidR="006A2C14" w:rsidRPr="00645D98" w:rsidTr="006A2C14">
        <w:tc>
          <w:tcPr>
            <w:tcW w:w="1129" w:type="dxa"/>
            <w:vAlign w:val="center"/>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XXXIX</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Las actas y resoluciones del Comité de Transparencia de los sujetos obligados.</w:t>
            </w:r>
          </w:p>
        </w:tc>
        <w:tc>
          <w:tcPr>
            <w:tcW w:w="1275"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C</w:t>
            </w:r>
          </w:p>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w:t>
            </w:r>
          </w:p>
          <w:p w:rsidR="006A2C14" w:rsidRPr="00645D98" w:rsidRDefault="006A2C14" w:rsidP="006A2C14">
            <w:pPr>
              <w:autoSpaceDE w:val="0"/>
              <w:autoSpaceDN w:val="0"/>
              <w:adjustRightInd w:val="0"/>
              <w:jc w:val="both"/>
              <w:rPr>
                <w:rFonts w:ascii="Century Gothic" w:hAnsi="Century Gothic" w:cs="Calibri-BoldItalic"/>
                <w:bCs/>
                <w:iCs/>
                <w:sz w:val="16"/>
                <w:szCs w:val="16"/>
              </w:rPr>
            </w:pPr>
          </w:p>
        </w:tc>
        <w:tc>
          <w:tcPr>
            <w:tcW w:w="14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Transparencia y Acceso a la Información Pública</w:t>
            </w:r>
          </w:p>
        </w:tc>
      </w:tr>
      <w:tr w:rsidR="006A2C14" w:rsidRPr="00645D98" w:rsidTr="0079214F">
        <w:tc>
          <w:tcPr>
            <w:tcW w:w="1129" w:type="dxa"/>
            <w:vAlign w:val="center"/>
          </w:tcPr>
          <w:p w:rsidR="006A2C14" w:rsidRDefault="006A2C14"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lastRenderedPageBreak/>
              <w:t>XL</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Todas las evaluaciones y encuestas que hagan los sujetos obligados a programas financiados con recursos públicos.</w:t>
            </w:r>
          </w:p>
        </w:tc>
        <w:tc>
          <w:tcPr>
            <w:tcW w:w="1275" w:type="dxa"/>
            <w:vAlign w:val="center"/>
          </w:tcPr>
          <w:p w:rsidR="006A2C14" w:rsidRDefault="006A2C14"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6A2C14" w:rsidRPr="00645D98" w:rsidRDefault="006A2C14"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shd w:val="clear" w:color="auto" w:fill="auto"/>
          </w:tcPr>
          <w:p w:rsidR="006A2C14" w:rsidRPr="0079214F" w:rsidRDefault="0079214F" w:rsidP="0079214F">
            <w:pPr>
              <w:spacing w:line="276" w:lineRule="auto"/>
              <w:jc w:val="both"/>
              <w:rPr>
                <w:rFonts w:ascii="Century Gothic" w:hAnsi="Century Gothic" w:cs="Arial"/>
                <w:sz w:val="16"/>
              </w:rPr>
            </w:pPr>
            <w:r w:rsidRPr="001C118C">
              <w:rPr>
                <w:rFonts w:ascii="Century Gothic" w:hAnsi="Century Gothic" w:cs="Arial"/>
                <w:sz w:val="16"/>
              </w:rPr>
              <w:t xml:space="preserve">En relación a la motivación de no aplicabilidad para este instituto determinada en las fracciones XV y XXXVIII del artículo 91 de la Ley de Transparencia, así como de la Ley del Instituto para el Desarrollo y Financiamiento del Estado, éste no desarrolla programas sociales, ni asigna presupuesto a dichos programas, ni desarrolla programas con subsidios, estímulos y apoyos, por consiguiente el Instituto no realiza evaluaciones a programas. </w:t>
            </w:r>
          </w:p>
        </w:tc>
      </w:tr>
      <w:tr w:rsidR="006A2C14" w:rsidRPr="00645D98" w:rsidTr="0079214F">
        <w:tc>
          <w:tcPr>
            <w:tcW w:w="1129" w:type="dxa"/>
            <w:vAlign w:val="center"/>
          </w:tcPr>
          <w:p w:rsidR="006A2C14" w:rsidRDefault="006A2C14"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XLI</w:t>
            </w:r>
          </w:p>
        </w:tc>
        <w:tc>
          <w:tcPr>
            <w:tcW w:w="3828" w:type="dxa"/>
            <w:vAlign w:val="center"/>
          </w:tcPr>
          <w:p w:rsidR="006A2C14" w:rsidRPr="00645D98" w:rsidRDefault="006A2C14" w:rsidP="0079214F">
            <w:pPr>
              <w:spacing w:line="276" w:lineRule="auto"/>
              <w:jc w:val="center"/>
              <w:rPr>
                <w:rFonts w:ascii="Century Gothic" w:hAnsi="Century Gothic" w:cs="Calibri-BoldItalic"/>
                <w:bCs/>
                <w:iCs/>
                <w:sz w:val="16"/>
                <w:szCs w:val="16"/>
              </w:rPr>
            </w:pPr>
            <w:r>
              <w:rPr>
                <w:rFonts w:ascii="Century Gothic" w:hAnsi="Century Gothic" w:cs="Calibri-BoldItalic"/>
                <w:bCs/>
                <w:iCs/>
                <w:sz w:val="16"/>
                <w:szCs w:val="16"/>
              </w:rPr>
              <w:t xml:space="preserve">Los estudios financieros con </w:t>
            </w:r>
            <w:r w:rsidRPr="0079214F">
              <w:rPr>
                <w:rFonts w:ascii="Century Gothic" w:hAnsi="Century Gothic" w:cs="Arial"/>
                <w:sz w:val="16"/>
              </w:rPr>
              <w:t>recursos</w:t>
            </w:r>
            <w:r>
              <w:rPr>
                <w:rFonts w:ascii="Century Gothic" w:hAnsi="Century Gothic" w:cs="Calibri-BoldItalic"/>
                <w:bCs/>
                <w:iCs/>
                <w:sz w:val="16"/>
                <w:szCs w:val="16"/>
              </w:rPr>
              <w:t xml:space="preserve"> públicos.</w:t>
            </w:r>
          </w:p>
        </w:tc>
        <w:tc>
          <w:tcPr>
            <w:tcW w:w="1275"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6A2C14" w:rsidRPr="00645D98" w:rsidRDefault="0079214F" w:rsidP="0079214F">
            <w:pPr>
              <w:spacing w:line="276" w:lineRule="auto"/>
              <w:jc w:val="both"/>
              <w:rPr>
                <w:rFonts w:ascii="Century Gothic" w:hAnsi="Century Gothic" w:cs="Calibri-BoldItalic"/>
                <w:bCs/>
                <w:iCs/>
                <w:sz w:val="16"/>
                <w:szCs w:val="16"/>
              </w:rPr>
            </w:pPr>
            <w:r w:rsidRPr="0079214F">
              <w:rPr>
                <w:rFonts w:ascii="Century Gothic" w:hAnsi="Century Gothic" w:cs="Arial"/>
                <w:sz w:val="16"/>
              </w:rPr>
              <w:t>El instituto no contrata ni realiza por cuenta propia o en colaboración, con instituciones y organismos públicos, del sector social, privado y personas físicas, estudios, investigaciones y/o análisis exploratorios, descriptivo, correccionales o explicativos financiados total o parcialmente con recurso público, como parte de su naturaleza, atribuciones y funciones.</w:t>
            </w:r>
          </w:p>
        </w:tc>
      </w:tr>
      <w:tr w:rsidR="006A2C14" w:rsidRPr="00645D98" w:rsidTr="0079214F">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XLII</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El listado de jubilados, pensionados y el monto que reciben.</w:t>
            </w:r>
          </w:p>
        </w:tc>
        <w:tc>
          <w:tcPr>
            <w:tcW w:w="1275" w:type="dxa"/>
            <w:vAlign w:val="center"/>
          </w:tcPr>
          <w:p w:rsidR="006A2C14"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79214F"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de Administración y Finanzas</w:t>
            </w:r>
          </w:p>
        </w:tc>
      </w:tr>
      <w:tr w:rsidR="006A2C14" w:rsidRPr="00645D98" w:rsidTr="000D3A6B">
        <w:tc>
          <w:tcPr>
            <w:tcW w:w="1129" w:type="dxa"/>
            <w:vAlign w:val="center"/>
          </w:tcPr>
          <w:p w:rsidR="006A2C14" w:rsidRDefault="006A2C14"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XLIII</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Los ingresos recibidos por cualquier concepto señalando el nombre de los responsables en recibirlos, administrarlos y ejercerlos, así como su destino, indicando el destino de cada uno de ellos.</w:t>
            </w:r>
          </w:p>
        </w:tc>
        <w:tc>
          <w:tcPr>
            <w:tcW w:w="1275" w:type="dxa"/>
            <w:vAlign w:val="center"/>
          </w:tcPr>
          <w:p w:rsidR="006A2C14"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79214F"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6A2C14" w:rsidRPr="00645D98" w:rsidRDefault="0079214F" w:rsidP="0079214F">
            <w:pPr>
              <w:spacing w:line="276" w:lineRule="auto"/>
              <w:jc w:val="both"/>
              <w:rPr>
                <w:rFonts w:ascii="Century Gothic" w:hAnsi="Century Gothic" w:cs="Calibri-BoldItalic"/>
                <w:bCs/>
                <w:iCs/>
                <w:sz w:val="16"/>
                <w:szCs w:val="16"/>
              </w:rPr>
            </w:pPr>
            <w:r w:rsidRPr="0079214F">
              <w:rPr>
                <w:rFonts w:ascii="Century Gothic" w:hAnsi="Century Gothic" w:cs="Arial"/>
                <w:sz w:val="16"/>
              </w:rPr>
              <w:t>El instituto no recibe recursos por concepto de impuestos, cuotas y aportaciones de seguridad social, contribuciones de mejoras, derechos, productos, aprovechamientos, venta de bienes y servicios, participaciones y aportaciones, transferencias, asignaciones, subsidios, ayudas e ingresos derivados de financiamiento, ni por cualquier otro concepto.</w:t>
            </w:r>
          </w:p>
        </w:tc>
      </w:tr>
      <w:tr w:rsidR="006A2C14" w:rsidRPr="00645D98" w:rsidTr="000D3A6B">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XLIV</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Donaciones hechas a terceros en dinero o especie.</w:t>
            </w:r>
          </w:p>
        </w:tc>
        <w:tc>
          <w:tcPr>
            <w:tcW w:w="1275" w:type="dxa"/>
            <w:vAlign w:val="center"/>
          </w:tcPr>
          <w:p w:rsidR="0079214F"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79214F"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6A2C14" w:rsidRPr="0079214F" w:rsidRDefault="0079214F" w:rsidP="0079214F">
            <w:pPr>
              <w:spacing w:line="276" w:lineRule="auto"/>
              <w:jc w:val="both"/>
              <w:rPr>
                <w:rFonts w:ascii="Century Gothic" w:hAnsi="Century Gothic" w:cs="Arial"/>
                <w:sz w:val="16"/>
              </w:rPr>
            </w:pPr>
            <w:r w:rsidRPr="001C118C">
              <w:rPr>
                <w:rFonts w:ascii="Century Gothic" w:hAnsi="Century Gothic" w:cs="Arial"/>
                <w:sz w:val="16"/>
              </w:rPr>
              <w:t xml:space="preserve">El Instituto no es ejecutor de gastos, en tal sentido, no cuenta con asignaciones que se destinan por causas de utilidad social para otorgar donativos a instituciones no lucrativas destinadas a actividades educativas, culturales, de salud, de investigación científica, de aplicación de nuevas tecnologías o de beneficencia. </w:t>
            </w:r>
          </w:p>
        </w:tc>
      </w:tr>
      <w:tr w:rsidR="006A2C14" w:rsidRPr="00645D98" w:rsidTr="006F0A1B">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XLV</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El catálogo de disposición y guía de archivo documental.</w:t>
            </w:r>
          </w:p>
        </w:tc>
        <w:tc>
          <w:tcPr>
            <w:tcW w:w="1275"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Único</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Default="0079214F" w:rsidP="006F0A1B">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 xml:space="preserve">Dirección de </w:t>
            </w:r>
            <w:r w:rsidR="00F5247E">
              <w:rPr>
                <w:rFonts w:ascii="Century Gothic" w:hAnsi="Century Gothic" w:cs="Calibri-BoldItalic"/>
                <w:bCs/>
                <w:iCs/>
                <w:sz w:val="16"/>
                <w:szCs w:val="16"/>
              </w:rPr>
              <w:t>Transparencia y Acceso a la Información Pública</w:t>
            </w:r>
          </w:p>
          <w:p w:rsidR="00114E0F" w:rsidRPr="00645D98" w:rsidRDefault="00114E0F" w:rsidP="006F0A1B">
            <w:pPr>
              <w:autoSpaceDE w:val="0"/>
              <w:autoSpaceDN w:val="0"/>
              <w:adjustRightInd w:val="0"/>
              <w:jc w:val="center"/>
              <w:rPr>
                <w:rFonts w:ascii="Century Gothic" w:hAnsi="Century Gothic" w:cs="Calibri-BoldItalic"/>
                <w:bCs/>
                <w:iCs/>
                <w:sz w:val="16"/>
                <w:szCs w:val="16"/>
              </w:rPr>
            </w:pPr>
          </w:p>
        </w:tc>
      </w:tr>
      <w:tr w:rsidR="006A2C14" w:rsidRPr="00645D98" w:rsidTr="00700C80">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XLVI</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Las actas de sesiones ordinarias y extraordinarias, así como las opiniones y recomendaciones que emitan en su caso, los consejos consultivos. </w:t>
            </w:r>
          </w:p>
        </w:tc>
        <w:tc>
          <w:tcPr>
            <w:tcW w:w="1275" w:type="dxa"/>
            <w:vAlign w:val="center"/>
          </w:tcPr>
          <w:p w:rsidR="006A2C14"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79214F"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A2C14" w:rsidRPr="00645D98" w:rsidRDefault="00700C80" w:rsidP="00700C80">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Dirección Jurídica</w:t>
            </w:r>
          </w:p>
        </w:tc>
      </w:tr>
      <w:tr w:rsidR="006A2C14" w:rsidRPr="00645D98" w:rsidTr="00B04F07">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XLVII</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Para los efectos estadísticos, el listado de las solicitudes a las empresas concesionarias de telecomunicaciones y proveedores de servicios o aplicaciones de internet para la intervención de comunicaciones privadas, el acceso al registro de comunicaciones y la </w:t>
            </w:r>
            <w:r>
              <w:rPr>
                <w:rFonts w:ascii="Century Gothic" w:hAnsi="Century Gothic" w:cs="Calibri-BoldItalic"/>
                <w:bCs/>
                <w:iCs/>
                <w:sz w:val="16"/>
                <w:szCs w:val="16"/>
              </w:rPr>
              <w:lastRenderedPageBreak/>
              <w:t>localización geográfica en tiempo real de equipos de comunicación, que contenga exclusivamente el objeto, el alcance temporal y los fundamentos legales del requerimiento, así como en su caso, la mención de que cuenta con la autorización judicial correspondiente.</w:t>
            </w:r>
          </w:p>
        </w:tc>
        <w:tc>
          <w:tcPr>
            <w:tcW w:w="1275" w:type="dxa"/>
            <w:vAlign w:val="center"/>
          </w:tcPr>
          <w:p w:rsidR="006A2C14"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lastRenderedPageBreak/>
              <w:t>A</w:t>
            </w:r>
          </w:p>
          <w:p w:rsidR="0079214F"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p w:rsidR="0079214F"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C</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vAlign w:val="center"/>
          </w:tcPr>
          <w:p w:rsidR="006A2C14" w:rsidRPr="00232D79" w:rsidRDefault="00232D79" w:rsidP="00232D79">
            <w:pPr>
              <w:jc w:val="both"/>
              <w:rPr>
                <w:rFonts w:ascii="Century Gothic" w:hAnsi="Century Gothic"/>
                <w:sz w:val="16"/>
                <w:szCs w:val="16"/>
              </w:rPr>
            </w:pPr>
            <w:r>
              <w:rPr>
                <w:rFonts w:ascii="Century Gothic" w:hAnsi="Century Gothic"/>
                <w:bCs/>
                <w:color w:val="000000"/>
                <w:sz w:val="16"/>
                <w:szCs w:val="16"/>
                <w:bdr w:val="none" w:sz="0" w:space="0" w:color="auto" w:frame="1"/>
                <w:shd w:val="clear" w:color="auto" w:fill="FFFFFF"/>
              </w:rPr>
              <w:t>El I</w:t>
            </w:r>
            <w:r w:rsidRPr="00240E35">
              <w:rPr>
                <w:rFonts w:ascii="Century Gothic" w:hAnsi="Century Gothic"/>
                <w:bCs/>
                <w:color w:val="000000"/>
                <w:sz w:val="16"/>
                <w:szCs w:val="16"/>
                <w:bdr w:val="none" w:sz="0" w:space="0" w:color="auto" w:frame="1"/>
                <w:shd w:val="clear" w:color="auto" w:fill="FFFFFF"/>
              </w:rPr>
              <w:t xml:space="preserve">nstituto como organismo descentralizado forma parte del Poder Ejecutivo, de conformidad con el artículo 02 y 07 de la Ley Orgánica de la Administración Pública del Estado, y no se encuentra dentro de </w:t>
            </w:r>
            <w:r w:rsidRPr="00240E35">
              <w:rPr>
                <w:rFonts w:ascii="Century Gothic" w:hAnsi="Century Gothic"/>
                <w:bCs/>
                <w:color w:val="000000"/>
                <w:sz w:val="16"/>
                <w:szCs w:val="16"/>
                <w:bdr w:val="none" w:sz="0" w:space="0" w:color="auto" w:frame="1"/>
                <w:shd w:val="clear" w:color="auto" w:fill="FFFFFF"/>
              </w:rPr>
              <w:lastRenderedPageBreak/>
              <w:t>sus atribuciones la seguridad, procuración, impartición o administración de justicia, ni solicita órdenes judiciales o relacionados con materias de seguridad nacional.</w:t>
            </w:r>
          </w:p>
        </w:tc>
      </w:tr>
      <w:tr w:rsidR="006A2C14" w:rsidRPr="00645D98" w:rsidTr="00232D79">
        <w:tc>
          <w:tcPr>
            <w:tcW w:w="1129" w:type="dxa"/>
            <w:vAlign w:val="center"/>
          </w:tcPr>
          <w:p w:rsidR="006A2C14" w:rsidRDefault="006A2C14" w:rsidP="00232D79">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lastRenderedPageBreak/>
              <w:t>XLVIII</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Padrón de inspectores, visitadores o supervisores.</w:t>
            </w:r>
          </w:p>
        </w:tc>
        <w:tc>
          <w:tcPr>
            <w:tcW w:w="1275"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Libre</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6A2C14" w:rsidRPr="00232D79" w:rsidRDefault="00232D79" w:rsidP="00232D79">
            <w:pPr>
              <w:jc w:val="both"/>
              <w:rPr>
                <w:rFonts w:ascii="Century Gothic" w:hAnsi="Century Gothic"/>
                <w:sz w:val="16"/>
              </w:rPr>
            </w:pPr>
            <w:r w:rsidRPr="00240E35">
              <w:rPr>
                <w:rFonts w:ascii="Century Gothic" w:hAnsi="Century Gothic"/>
                <w:sz w:val="16"/>
              </w:rPr>
              <w:t>Dentro de las facultades y competencias, funciones y atribuciones del Instituto, ninguna es relativa a realizar inspecciones, visitas o supervisión de ningún tipo, por tanto no existe en la estructura orgánica puesto o cargo de esta naturaleza.</w:t>
            </w:r>
          </w:p>
        </w:tc>
      </w:tr>
      <w:tr w:rsidR="006A2C14" w:rsidRPr="00645D98" w:rsidTr="00232D79">
        <w:tc>
          <w:tcPr>
            <w:tcW w:w="1129" w:type="dxa"/>
            <w:vAlign w:val="center"/>
          </w:tcPr>
          <w:p w:rsidR="006A2C14" w:rsidRDefault="006A2C14" w:rsidP="00232D79">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XLIX</w:t>
            </w:r>
          </w:p>
        </w:tc>
        <w:tc>
          <w:tcPr>
            <w:tcW w:w="3828" w:type="dxa"/>
            <w:vAlign w:val="center"/>
          </w:tcPr>
          <w:p w:rsidR="006A2C14" w:rsidRPr="00645D98" w:rsidRDefault="006A2C14" w:rsidP="002B1765">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Mecanismos de presentación directa de peticiones, opiniones, quejas, denuncias o sugerencias.</w:t>
            </w:r>
          </w:p>
        </w:tc>
        <w:tc>
          <w:tcPr>
            <w:tcW w:w="1275"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Libre</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No Aplica</w:t>
            </w:r>
          </w:p>
        </w:tc>
        <w:tc>
          <w:tcPr>
            <w:tcW w:w="3118" w:type="dxa"/>
          </w:tcPr>
          <w:p w:rsidR="006A2C14" w:rsidRPr="00232D79" w:rsidRDefault="00232D79" w:rsidP="00232D79">
            <w:pPr>
              <w:tabs>
                <w:tab w:val="left" w:pos="1380"/>
              </w:tabs>
              <w:jc w:val="both"/>
              <w:rPr>
                <w:rFonts w:ascii="Century Gothic" w:hAnsi="Century Gothic"/>
                <w:sz w:val="16"/>
              </w:rPr>
            </w:pPr>
            <w:r w:rsidRPr="00240E35">
              <w:rPr>
                <w:rFonts w:ascii="Century Gothic" w:hAnsi="Century Gothic"/>
                <w:sz w:val="16"/>
              </w:rPr>
              <w:t xml:space="preserve">Dentro de las facultades, competencias, funciones y atribuciones del Instituto, ninguna contempla la de recepción, atención, y seguimiento respecto a peticiones, opiniones, quejas, denuncias o sugerencias. </w:t>
            </w:r>
          </w:p>
        </w:tc>
      </w:tr>
      <w:tr w:rsidR="006A2C14" w:rsidRPr="00645D98" w:rsidTr="00232D79">
        <w:tc>
          <w:tcPr>
            <w:tcW w:w="1129" w:type="dxa"/>
          </w:tcPr>
          <w:p w:rsidR="006A2C14" w:rsidRDefault="006A2C14" w:rsidP="006A2C14">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L</w:t>
            </w:r>
          </w:p>
        </w:tc>
        <w:tc>
          <w:tcPr>
            <w:tcW w:w="3828" w:type="dxa"/>
          </w:tcPr>
          <w:p w:rsidR="006A2C14" w:rsidRPr="00645D98" w:rsidRDefault="006A2C14" w:rsidP="006A2C14">
            <w:pPr>
              <w:autoSpaceDE w:val="0"/>
              <w:autoSpaceDN w:val="0"/>
              <w:adjustRightInd w:val="0"/>
              <w:jc w:val="both"/>
              <w:rPr>
                <w:rFonts w:ascii="Century Gothic" w:hAnsi="Century Gothic" w:cs="Calibri-BoldItalic"/>
                <w:bCs/>
                <w:iCs/>
                <w:sz w:val="16"/>
                <w:szCs w:val="16"/>
              </w:rPr>
            </w:pPr>
            <w:r>
              <w:rPr>
                <w:rFonts w:ascii="Century Gothic" w:hAnsi="Century Gothic" w:cs="Calibri-BoldItalic"/>
                <w:bCs/>
                <w:iCs/>
                <w:sz w:val="16"/>
                <w:szCs w:val="16"/>
              </w:rPr>
              <w:t xml:space="preserve">Cualquier otra información que sea de utilidad o se considere relevante, además de la que, con base en la información estadística, responda a las preguntas hechas con más frecuencia por el público. </w:t>
            </w:r>
          </w:p>
        </w:tc>
        <w:tc>
          <w:tcPr>
            <w:tcW w:w="1275" w:type="dxa"/>
            <w:vAlign w:val="center"/>
          </w:tcPr>
          <w:p w:rsidR="006A2C14"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w:t>
            </w:r>
          </w:p>
          <w:p w:rsidR="0079214F"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B</w:t>
            </w:r>
          </w:p>
          <w:p w:rsidR="0079214F"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C</w:t>
            </w:r>
          </w:p>
        </w:tc>
        <w:tc>
          <w:tcPr>
            <w:tcW w:w="1418" w:type="dxa"/>
            <w:vAlign w:val="center"/>
          </w:tcPr>
          <w:p w:rsidR="006A2C14" w:rsidRPr="00645D98" w:rsidRDefault="0079214F" w:rsidP="0079214F">
            <w:pPr>
              <w:autoSpaceDE w:val="0"/>
              <w:autoSpaceDN w:val="0"/>
              <w:adjustRightInd w:val="0"/>
              <w:jc w:val="center"/>
              <w:rPr>
                <w:rFonts w:ascii="Century Gothic" w:hAnsi="Century Gothic" w:cs="Calibri-BoldItalic"/>
                <w:bCs/>
                <w:iCs/>
                <w:sz w:val="16"/>
                <w:szCs w:val="16"/>
              </w:rPr>
            </w:pPr>
            <w:r>
              <w:rPr>
                <w:rFonts w:ascii="Century Gothic" w:hAnsi="Century Gothic" w:cs="Calibri-BoldItalic"/>
                <w:bCs/>
                <w:iCs/>
                <w:sz w:val="16"/>
                <w:szCs w:val="16"/>
              </w:rPr>
              <w:t>Aplica</w:t>
            </w:r>
          </w:p>
        </w:tc>
        <w:tc>
          <w:tcPr>
            <w:tcW w:w="3118" w:type="dxa"/>
            <w:vAlign w:val="center"/>
          </w:tcPr>
          <w:p w:rsidR="006F0A1B" w:rsidRDefault="006F0A1B" w:rsidP="006F0A1B">
            <w:pPr>
              <w:autoSpaceDE w:val="0"/>
              <w:autoSpaceDN w:val="0"/>
              <w:adjustRightInd w:val="0"/>
              <w:rPr>
                <w:rFonts w:ascii="Century Gothic" w:hAnsi="Century Gothic" w:cs="Calibri-BoldItalic"/>
                <w:bCs/>
                <w:iCs/>
                <w:sz w:val="16"/>
                <w:szCs w:val="16"/>
              </w:rPr>
            </w:pPr>
            <w:r>
              <w:rPr>
                <w:rFonts w:ascii="Century Gothic" w:hAnsi="Century Gothic" w:cs="Calibri-BoldItalic"/>
                <w:bCs/>
                <w:iCs/>
                <w:sz w:val="16"/>
                <w:szCs w:val="16"/>
              </w:rPr>
              <w:t xml:space="preserve">A </w:t>
            </w:r>
            <w:r w:rsidRPr="006F0A1B">
              <w:rPr>
                <w:rFonts w:ascii="Century Gothic" w:hAnsi="Century Gothic" w:cs="Calibri-BoldItalic"/>
                <w:bCs/>
                <w:iCs/>
                <w:sz w:val="16"/>
                <w:szCs w:val="16"/>
              </w:rPr>
              <w:t>Dirección de Promoción y Relaciones Públicas.</w:t>
            </w:r>
          </w:p>
          <w:p w:rsidR="006A2C14" w:rsidRPr="006F0A1B" w:rsidRDefault="006F0A1B" w:rsidP="006F0A1B">
            <w:pPr>
              <w:autoSpaceDE w:val="0"/>
              <w:autoSpaceDN w:val="0"/>
              <w:adjustRightInd w:val="0"/>
              <w:rPr>
                <w:rFonts w:ascii="Century Gothic" w:hAnsi="Century Gothic" w:cs="Calibri-BoldItalic"/>
                <w:bCs/>
                <w:iCs/>
                <w:sz w:val="16"/>
                <w:szCs w:val="16"/>
              </w:rPr>
            </w:pPr>
            <w:r>
              <w:rPr>
                <w:rFonts w:ascii="Century Gothic" w:hAnsi="Century Gothic" w:cs="Calibri-BoldItalic"/>
                <w:bCs/>
                <w:iCs/>
                <w:sz w:val="16"/>
                <w:szCs w:val="16"/>
              </w:rPr>
              <w:t xml:space="preserve">B Y C </w:t>
            </w:r>
            <w:r w:rsidR="006A2C14" w:rsidRPr="006F0A1B">
              <w:rPr>
                <w:rFonts w:ascii="Century Gothic" w:hAnsi="Century Gothic" w:cs="Calibri-BoldItalic"/>
                <w:bCs/>
                <w:iCs/>
                <w:sz w:val="16"/>
                <w:szCs w:val="16"/>
              </w:rPr>
              <w:t>Dirección de Transparencia y Acceso a la Información Pública</w:t>
            </w:r>
            <w:r>
              <w:rPr>
                <w:rFonts w:ascii="Century Gothic" w:hAnsi="Century Gothic" w:cs="Calibri-BoldItalic"/>
                <w:bCs/>
                <w:iCs/>
                <w:sz w:val="16"/>
                <w:szCs w:val="16"/>
              </w:rPr>
              <w:t>.</w:t>
            </w:r>
          </w:p>
        </w:tc>
      </w:tr>
    </w:tbl>
    <w:p w:rsidR="00AD2DC2" w:rsidRPr="00645D98" w:rsidRDefault="00AD2DC2" w:rsidP="00B50530">
      <w:pPr>
        <w:autoSpaceDE w:val="0"/>
        <w:autoSpaceDN w:val="0"/>
        <w:adjustRightInd w:val="0"/>
        <w:spacing w:after="0" w:line="240" w:lineRule="auto"/>
        <w:jc w:val="both"/>
        <w:rPr>
          <w:rFonts w:ascii="Century Gothic" w:hAnsi="Century Gothic" w:cs="Calibri-BoldItalic"/>
          <w:bCs/>
          <w:iCs/>
          <w:sz w:val="16"/>
          <w:szCs w:val="16"/>
        </w:rPr>
      </w:pPr>
    </w:p>
    <w:sectPr w:rsidR="00AD2DC2" w:rsidRPr="00645D98" w:rsidSect="008C0776">
      <w:headerReference w:type="even" r:id="rId8"/>
      <w:headerReference w:type="default" r:id="rId9"/>
      <w:footerReference w:type="default" r:id="rId10"/>
      <w:headerReference w:type="firs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16" w:rsidRDefault="00154616" w:rsidP="00E61038">
      <w:pPr>
        <w:spacing w:after="0" w:line="240" w:lineRule="auto"/>
      </w:pPr>
      <w:r>
        <w:separator/>
      </w:r>
    </w:p>
  </w:endnote>
  <w:endnote w:type="continuationSeparator" w:id="0">
    <w:p w:rsidR="00154616" w:rsidRDefault="00154616"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B9" w:rsidRDefault="00ED71B9">
    <w:pPr>
      <w:pStyle w:val="Piedepgina"/>
    </w:pPr>
    <w:r>
      <w:rPr>
        <w:noProof/>
        <w:lang w:eastAsia="es-MX"/>
      </w:rPr>
      <mc:AlternateContent>
        <mc:Choice Requires="wps">
          <w:drawing>
            <wp:anchor distT="0" distB="0" distL="114300" distR="114300" simplePos="0" relativeHeight="251666432" behindDoc="0" locked="0" layoutInCell="1" allowOverlap="1">
              <wp:simplePos x="0" y="0"/>
              <wp:positionH relativeFrom="page">
                <wp:align>right</wp:align>
              </wp:positionH>
              <wp:positionV relativeFrom="paragraph">
                <wp:posOffset>247015</wp:posOffset>
              </wp:positionV>
              <wp:extent cx="982980" cy="374015"/>
              <wp:effectExtent l="0" t="0" r="7620" b="6985"/>
              <wp:wrapNone/>
              <wp:docPr id="44" name="Rectángulo 44"/>
              <wp:cNvGraphicFramePr/>
              <a:graphic xmlns:a="http://schemas.openxmlformats.org/drawingml/2006/main">
                <a:graphicData uri="http://schemas.microsoft.com/office/word/2010/wordprocessingShape">
                  <wps:wsp>
                    <wps:cNvSpPr/>
                    <wps:spPr>
                      <a:xfrm>
                        <a:off x="0" y="0"/>
                        <a:ext cx="982980" cy="374015"/>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9082E" id="Rectángulo 44" o:spid="_x0000_s1026" style="position:absolute;margin-left:26.2pt;margin-top:19.45pt;width:77.4pt;height:29.45pt;z-index:25166643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" fillcolor="#ffc000 [3207]" stroked="f" strokeweight="1pt">
              <w10:wrap anchorx="page"/>
            </v:rect>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page">
                <wp:align>right</wp:align>
              </wp:positionH>
              <wp:positionV relativeFrom="paragraph">
                <wp:posOffset>254635</wp:posOffset>
              </wp:positionV>
              <wp:extent cx="7764780" cy="396240"/>
              <wp:effectExtent l="0" t="0" r="7620" b="3810"/>
              <wp:wrapNone/>
              <wp:docPr id="43" name="Rectángulo 43"/>
              <wp:cNvGraphicFramePr/>
              <a:graphic xmlns:a="http://schemas.openxmlformats.org/drawingml/2006/main">
                <a:graphicData uri="http://schemas.microsoft.com/office/word/2010/wordprocessingShape">
                  <wps:wsp>
                    <wps:cNvSpPr/>
                    <wps:spPr>
                      <a:xfrm>
                        <a:off x="0" y="0"/>
                        <a:ext cx="7764780" cy="396240"/>
                      </a:xfrm>
                      <a:prstGeom prst="rect">
                        <a:avLst/>
                      </a:prstGeom>
                      <a:solidFill>
                        <a:srgbClr val="0F6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E82E" id="Rectángulo 43" o:spid="_x0000_s1026" style="position:absolute;margin-left:560.2pt;margin-top:20.05pt;width:611.4pt;height:31.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" fillcolor="#0f627f" stroked="f" strokeweight="1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16" w:rsidRDefault="00154616" w:rsidP="00E61038">
      <w:pPr>
        <w:spacing w:after="0" w:line="240" w:lineRule="auto"/>
      </w:pPr>
      <w:r>
        <w:separator/>
      </w:r>
    </w:p>
  </w:footnote>
  <w:footnote w:type="continuationSeparator" w:id="0">
    <w:p w:rsidR="00154616" w:rsidRDefault="00154616" w:rsidP="00E6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B9" w:rsidRDefault="0015461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3" type="#_x0000_t75" style="position:absolute;margin-left:0;margin-top:0;width:441.75pt;height:396.45pt;z-index:-251656192;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B9" w:rsidRDefault="001E7A80" w:rsidP="002B1765">
    <w:pPr>
      <w:pStyle w:val="Encabezado"/>
      <w:tabs>
        <w:tab w:val="clear" w:pos="4419"/>
        <w:tab w:val="clear" w:pos="8838"/>
        <w:tab w:val="left" w:pos="2292"/>
      </w:tabs>
    </w:pPr>
    <w:r>
      <w:rPr>
        <w:noProof/>
        <w:lang w:eastAsia="es-MX"/>
      </w:rPr>
      <w:drawing>
        <wp:anchor distT="0" distB="0" distL="114300" distR="114300" simplePos="0" relativeHeight="251662336" behindDoc="1" locked="0" layoutInCell="1" allowOverlap="1">
          <wp:simplePos x="0" y="0"/>
          <wp:positionH relativeFrom="margin">
            <wp:align>left</wp:align>
          </wp:positionH>
          <wp:positionV relativeFrom="paragraph">
            <wp:posOffset>-273050</wp:posOffset>
          </wp:positionV>
          <wp:extent cx="1069975" cy="594995"/>
          <wp:effectExtent l="0" t="0" r="0" b="0"/>
          <wp:wrapThrough wrapText="bothSides">
            <wp:wrapPolygon edited="0">
              <wp:start x="0" y="0"/>
              <wp:lineTo x="0" y="20747"/>
              <wp:lineTo x="21151" y="20747"/>
              <wp:lineTo x="2115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rotWithShape="1">
                  <a:blip r:embed="rId1">
                    <a:extLst>
                      <a:ext uri="{28A0092B-C50C-407E-A947-70E740481C1C}">
                        <a14:useLocalDpi xmlns:a14="http://schemas.microsoft.com/office/drawing/2010/main" val="0"/>
                      </a:ext>
                    </a:extLst>
                  </a:blip>
                  <a:srcRect b="17807"/>
                  <a:stretch/>
                </pic:blipFill>
                <pic:spPr bwMode="auto">
                  <a:xfrm>
                    <a:off x="0" y="0"/>
                    <a:ext cx="1069975" cy="59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765">
      <w:rPr>
        <w:noProof/>
        <w:lang w:eastAsia="es-MX"/>
      </w:rPr>
      <w:drawing>
        <wp:anchor distT="0" distB="0" distL="114300" distR="114300" simplePos="0" relativeHeight="251668480" behindDoc="1" locked="0" layoutInCell="1" allowOverlap="1" wp14:anchorId="417D318D" wp14:editId="7AE2B94C">
          <wp:simplePos x="0" y="0"/>
          <wp:positionH relativeFrom="margin">
            <wp:posOffset>5046345</wp:posOffset>
          </wp:positionH>
          <wp:positionV relativeFrom="paragraph">
            <wp:posOffset>-191135</wp:posOffset>
          </wp:positionV>
          <wp:extent cx="594360" cy="511175"/>
          <wp:effectExtent l="0" t="0" r="0" b="3175"/>
          <wp:wrapThrough wrapText="bothSides">
            <wp:wrapPolygon edited="0">
              <wp:start x="5538" y="0"/>
              <wp:lineTo x="2769" y="3220"/>
              <wp:lineTo x="0" y="9660"/>
              <wp:lineTo x="0" y="20929"/>
              <wp:lineTo x="20077" y="20929"/>
              <wp:lineTo x="20077" y="4830"/>
              <wp:lineTo x="13154" y="0"/>
              <wp:lineTo x="5538" y="0"/>
            </wp:wrapPolygon>
          </wp:wrapThrough>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2">
                    <a:extLst>
                      <a:ext uri="{28A0092B-C50C-407E-A947-70E740481C1C}">
                        <a14:useLocalDpi xmlns:a14="http://schemas.microsoft.com/office/drawing/2010/main" val="0"/>
                      </a:ext>
                    </a:extLst>
                  </a:blip>
                  <a:srcRect t="-5084" r="65850" b="-1"/>
                  <a:stretch/>
                </pic:blipFill>
                <pic:spPr bwMode="auto">
                  <a:xfrm>
                    <a:off x="0" y="0"/>
                    <a:ext cx="594360" cy="51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765">
      <w:rPr>
        <w:noProof/>
        <w:lang w:eastAsia="es-MX"/>
      </w:rPr>
      <w:drawing>
        <wp:anchor distT="0" distB="0" distL="114300" distR="114300" simplePos="0" relativeHeight="251663360" behindDoc="1" locked="0" layoutInCell="1" allowOverlap="1">
          <wp:simplePos x="0" y="0"/>
          <wp:positionH relativeFrom="margin">
            <wp:posOffset>5639435</wp:posOffset>
          </wp:positionH>
          <wp:positionV relativeFrom="paragraph">
            <wp:posOffset>-163830</wp:posOffset>
          </wp:positionV>
          <wp:extent cx="1217295" cy="513080"/>
          <wp:effectExtent l="0" t="0" r="1905" b="1270"/>
          <wp:wrapThrough wrapText="bothSides">
            <wp:wrapPolygon edited="0">
              <wp:start x="338" y="0"/>
              <wp:lineTo x="338" y="14436"/>
              <wp:lineTo x="1014" y="20851"/>
              <wp:lineTo x="20620" y="20851"/>
              <wp:lineTo x="21296" y="16842"/>
              <wp:lineTo x="21296" y="0"/>
              <wp:lineTo x="338"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2">
                    <a:extLst>
                      <a:ext uri="{28A0092B-C50C-407E-A947-70E740481C1C}">
                        <a14:useLocalDpi xmlns:a14="http://schemas.microsoft.com/office/drawing/2010/main" val="0"/>
                      </a:ext>
                    </a:extLst>
                  </a:blip>
                  <a:srcRect l="36996" t="5085" b="-1"/>
                  <a:stretch/>
                </pic:blipFill>
                <pic:spPr bwMode="auto">
                  <a:xfrm>
                    <a:off x="0" y="0"/>
                    <a:ext cx="1217295"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1B9">
      <w:tab/>
      <w:t xml:space="preserve"> </w:t>
    </w:r>
    <w:r w:rsidR="00ED71B9">
      <w:tab/>
    </w:r>
    <w:r w:rsidR="002B1765">
      <w:tab/>
    </w:r>
  </w:p>
  <w:p w:rsidR="00ED71B9" w:rsidRPr="00A5352C" w:rsidRDefault="00ED71B9" w:rsidP="00E61038">
    <w:pPr>
      <w:pStyle w:val="Encabezado"/>
      <w:jc w:val="center"/>
      <w:rPr>
        <w:b/>
      </w:rPr>
    </w:pPr>
  </w:p>
  <w:p w:rsidR="008C0776" w:rsidRPr="001E7A80" w:rsidRDefault="0054446D" w:rsidP="008C0776">
    <w:pPr>
      <w:pStyle w:val="Encabezado"/>
      <w:jc w:val="center"/>
      <w:rPr>
        <w:rFonts w:ascii="Century Gothic" w:hAnsi="Century Gothic"/>
        <w:b/>
        <w:sz w:val="28"/>
        <w:szCs w:val="20"/>
      </w:rPr>
    </w:pPr>
    <w:r w:rsidRPr="001E7A80">
      <w:rPr>
        <w:rFonts w:ascii="Century Gothic" w:hAnsi="Century Gothic"/>
        <w:b/>
        <w:sz w:val="28"/>
        <w:szCs w:val="20"/>
      </w:rPr>
      <w:t xml:space="preserve">TABLA DE APLICABILIDAD </w:t>
    </w:r>
    <w:r w:rsidR="002B1765" w:rsidRPr="001E7A80">
      <w:rPr>
        <w:rFonts w:ascii="Century Gothic" w:hAnsi="Century Gothic"/>
        <w:b/>
        <w:sz w:val="28"/>
        <w:szCs w:val="20"/>
      </w:rPr>
      <w:t>2019</w:t>
    </w:r>
  </w:p>
  <w:p w:rsidR="00ED71B9" w:rsidRPr="001E7A80" w:rsidRDefault="0054446D" w:rsidP="002B1765">
    <w:pPr>
      <w:pStyle w:val="Encabezado"/>
      <w:jc w:val="center"/>
      <w:rPr>
        <w:rFonts w:ascii="Century Gothic" w:hAnsi="Century Gothic"/>
        <w:b/>
        <w:sz w:val="24"/>
        <w:szCs w:val="20"/>
      </w:rPr>
    </w:pPr>
    <w:r w:rsidRPr="001E7A80">
      <w:rPr>
        <w:rFonts w:ascii="Century Gothic" w:hAnsi="Century Gothic"/>
        <w:b/>
        <w:color w:val="808080" w:themeColor="background1" w:themeShade="80"/>
        <w:sz w:val="24"/>
        <w:szCs w:val="20"/>
      </w:rPr>
      <w:t>DE LAS OBLIGACIONES DE TRANSPARENCIA COMUNES</w:t>
    </w:r>
    <w:r w:rsidR="00ED71B9" w:rsidRPr="001E7A80">
      <w:rPr>
        <w:b/>
        <w:noProof/>
        <w:sz w:val="28"/>
        <w:lang w:eastAsia="es-MX"/>
      </w:rPr>
      <w:drawing>
        <wp:anchor distT="0" distB="0" distL="114300" distR="114300" simplePos="0" relativeHeight="251664384" behindDoc="1" locked="0" layoutInCell="1" allowOverlap="1">
          <wp:simplePos x="0" y="0"/>
          <wp:positionH relativeFrom="margin">
            <wp:align>center</wp:align>
          </wp:positionH>
          <wp:positionV relativeFrom="paragraph">
            <wp:posOffset>2384425</wp:posOffset>
          </wp:positionV>
          <wp:extent cx="4427855" cy="3617595"/>
          <wp:effectExtent l="0" t="0" r="0" b="1905"/>
          <wp:wrapNone/>
          <wp:docPr id="32" name="Imagen 32" descr="HD MacOS:Users:JCDS:Desktop:MARCA DE AGUA HOJA 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D MacOS:Users:JCDS:Desktop:MARCA DE AGUA HOJA MEMBRETAD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27855" cy="361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B9" w:rsidRDefault="0015461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52"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5642"/>
    <w:multiLevelType w:val="hybridMultilevel"/>
    <w:tmpl w:val="DEF036E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5D49EC"/>
    <w:multiLevelType w:val="hybridMultilevel"/>
    <w:tmpl w:val="C5A83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0F097E"/>
    <w:multiLevelType w:val="hybridMultilevel"/>
    <w:tmpl w:val="D91CB14A"/>
    <w:lvl w:ilvl="0" w:tplc="E58EFC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405FA0"/>
    <w:multiLevelType w:val="hybridMultilevel"/>
    <w:tmpl w:val="A2DE9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221E"/>
    <w:rsid w:val="00003F22"/>
    <w:rsid w:val="00022FC9"/>
    <w:rsid w:val="00023291"/>
    <w:rsid w:val="00025D2B"/>
    <w:rsid w:val="000300FA"/>
    <w:rsid w:val="000374B5"/>
    <w:rsid w:val="000413FB"/>
    <w:rsid w:val="00041F13"/>
    <w:rsid w:val="00043043"/>
    <w:rsid w:val="000451AB"/>
    <w:rsid w:val="00045883"/>
    <w:rsid w:val="000464EB"/>
    <w:rsid w:val="000B76FE"/>
    <w:rsid w:val="000C21F1"/>
    <w:rsid w:val="000C71F5"/>
    <w:rsid w:val="000D07A3"/>
    <w:rsid w:val="000D230C"/>
    <w:rsid w:val="000D3A6B"/>
    <w:rsid w:val="000E18AD"/>
    <w:rsid w:val="000E2640"/>
    <w:rsid w:val="000F20DA"/>
    <w:rsid w:val="00106B20"/>
    <w:rsid w:val="00114E0F"/>
    <w:rsid w:val="001201C8"/>
    <w:rsid w:val="0012560D"/>
    <w:rsid w:val="00127F24"/>
    <w:rsid w:val="00154616"/>
    <w:rsid w:val="001576A0"/>
    <w:rsid w:val="00160209"/>
    <w:rsid w:val="001632A5"/>
    <w:rsid w:val="00170002"/>
    <w:rsid w:val="001A030B"/>
    <w:rsid w:val="001A1258"/>
    <w:rsid w:val="001C2EDC"/>
    <w:rsid w:val="001C7A06"/>
    <w:rsid w:val="001D2F31"/>
    <w:rsid w:val="001E18B8"/>
    <w:rsid w:val="001E7A80"/>
    <w:rsid w:val="00215039"/>
    <w:rsid w:val="002217AD"/>
    <w:rsid w:val="00227C4B"/>
    <w:rsid w:val="00232D79"/>
    <w:rsid w:val="00253A41"/>
    <w:rsid w:val="00261F0B"/>
    <w:rsid w:val="00271AB5"/>
    <w:rsid w:val="0027483C"/>
    <w:rsid w:val="00296A4E"/>
    <w:rsid w:val="002B0D1F"/>
    <w:rsid w:val="002B1765"/>
    <w:rsid w:val="002B305E"/>
    <w:rsid w:val="002B3089"/>
    <w:rsid w:val="002C37CA"/>
    <w:rsid w:val="002C3876"/>
    <w:rsid w:val="002C3FA8"/>
    <w:rsid w:val="002E5FD9"/>
    <w:rsid w:val="002F032F"/>
    <w:rsid w:val="002F431D"/>
    <w:rsid w:val="003113C6"/>
    <w:rsid w:val="003259E7"/>
    <w:rsid w:val="00334F28"/>
    <w:rsid w:val="00335893"/>
    <w:rsid w:val="0033681B"/>
    <w:rsid w:val="00337665"/>
    <w:rsid w:val="003438B8"/>
    <w:rsid w:val="003445B8"/>
    <w:rsid w:val="003516DD"/>
    <w:rsid w:val="00356BF1"/>
    <w:rsid w:val="00362F40"/>
    <w:rsid w:val="00372B06"/>
    <w:rsid w:val="00372ECE"/>
    <w:rsid w:val="00380404"/>
    <w:rsid w:val="00384A87"/>
    <w:rsid w:val="00384FFC"/>
    <w:rsid w:val="00396A89"/>
    <w:rsid w:val="003A5A46"/>
    <w:rsid w:val="003B59BA"/>
    <w:rsid w:val="003C52A1"/>
    <w:rsid w:val="003D3955"/>
    <w:rsid w:val="003D6EAE"/>
    <w:rsid w:val="003F2416"/>
    <w:rsid w:val="003F4712"/>
    <w:rsid w:val="003F6E21"/>
    <w:rsid w:val="0040210A"/>
    <w:rsid w:val="00406939"/>
    <w:rsid w:val="00412AB1"/>
    <w:rsid w:val="0041644B"/>
    <w:rsid w:val="00425401"/>
    <w:rsid w:val="004301B8"/>
    <w:rsid w:val="0043236A"/>
    <w:rsid w:val="00434933"/>
    <w:rsid w:val="00437376"/>
    <w:rsid w:val="00440886"/>
    <w:rsid w:val="004465AD"/>
    <w:rsid w:val="00453602"/>
    <w:rsid w:val="00462270"/>
    <w:rsid w:val="004637F2"/>
    <w:rsid w:val="00472698"/>
    <w:rsid w:val="004750C2"/>
    <w:rsid w:val="00481AB1"/>
    <w:rsid w:val="00482165"/>
    <w:rsid w:val="004A6841"/>
    <w:rsid w:val="004B299A"/>
    <w:rsid w:val="004B73D2"/>
    <w:rsid w:val="004D557D"/>
    <w:rsid w:val="004E20EC"/>
    <w:rsid w:val="004E6E71"/>
    <w:rsid w:val="004F0B10"/>
    <w:rsid w:val="004F204A"/>
    <w:rsid w:val="004F390F"/>
    <w:rsid w:val="004F4628"/>
    <w:rsid w:val="0050311B"/>
    <w:rsid w:val="0053014C"/>
    <w:rsid w:val="0054446D"/>
    <w:rsid w:val="005502F3"/>
    <w:rsid w:val="00553C82"/>
    <w:rsid w:val="0055463E"/>
    <w:rsid w:val="005551E2"/>
    <w:rsid w:val="00561649"/>
    <w:rsid w:val="0056367E"/>
    <w:rsid w:val="005723BA"/>
    <w:rsid w:val="00573FFF"/>
    <w:rsid w:val="00574E64"/>
    <w:rsid w:val="00575889"/>
    <w:rsid w:val="00590166"/>
    <w:rsid w:val="00597DA7"/>
    <w:rsid w:val="005A3CB6"/>
    <w:rsid w:val="005B1610"/>
    <w:rsid w:val="005B2EA3"/>
    <w:rsid w:val="005B733D"/>
    <w:rsid w:val="005C32D6"/>
    <w:rsid w:val="005C5B68"/>
    <w:rsid w:val="005E3899"/>
    <w:rsid w:val="005E6DFA"/>
    <w:rsid w:val="00610422"/>
    <w:rsid w:val="00615E58"/>
    <w:rsid w:val="00624B7E"/>
    <w:rsid w:val="00624BB2"/>
    <w:rsid w:val="006358AE"/>
    <w:rsid w:val="00645D98"/>
    <w:rsid w:val="00646CF6"/>
    <w:rsid w:val="00657C22"/>
    <w:rsid w:val="00675F87"/>
    <w:rsid w:val="0068690D"/>
    <w:rsid w:val="00686E14"/>
    <w:rsid w:val="006907AE"/>
    <w:rsid w:val="006A2C14"/>
    <w:rsid w:val="006A3329"/>
    <w:rsid w:val="006A6B3E"/>
    <w:rsid w:val="006B75D2"/>
    <w:rsid w:val="006C12B5"/>
    <w:rsid w:val="006C4B64"/>
    <w:rsid w:val="006D03F6"/>
    <w:rsid w:val="006D2212"/>
    <w:rsid w:val="006E03C7"/>
    <w:rsid w:val="006E1C6F"/>
    <w:rsid w:val="006E7CE5"/>
    <w:rsid w:val="006F0A1B"/>
    <w:rsid w:val="006F4273"/>
    <w:rsid w:val="006F7F9C"/>
    <w:rsid w:val="00700C80"/>
    <w:rsid w:val="007078F8"/>
    <w:rsid w:val="00710C52"/>
    <w:rsid w:val="00715691"/>
    <w:rsid w:val="00731B31"/>
    <w:rsid w:val="0073277E"/>
    <w:rsid w:val="007473C5"/>
    <w:rsid w:val="00747D7B"/>
    <w:rsid w:val="00760B93"/>
    <w:rsid w:val="00782A01"/>
    <w:rsid w:val="007830F4"/>
    <w:rsid w:val="0078615D"/>
    <w:rsid w:val="0078693D"/>
    <w:rsid w:val="00790E01"/>
    <w:rsid w:val="007920F3"/>
    <w:rsid w:val="0079214F"/>
    <w:rsid w:val="007947BE"/>
    <w:rsid w:val="007A050A"/>
    <w:rsid w:val="007A07A3"/>
    <w:rsid w:val="007D2BCC"/>
    <w:rsid w:val="007D4494"/>
    <w:rsid w:val="007F2D0A"/>
    <w:rsid w:val="00802229"/>
    <w:rsid w:val="00804CBF"/>
    <w:rsid w:val="008229D8"/>
    <w:rsid w:val="00831D7D"/>
    <w:rsid w:val="00836B61"/>
    <w:rsid w:val="00854CF1"/>
    <w:rsid w:val="00856C71"/>
    <w:rsid w:val="00857621"/>
    <w:rsid w:val="00864B2F"/>
    <w:rsid w:val="00874261"/>
    <w:rsid w:val="00875330"/>
    <w:rsid w:val="008758C2"/>
    <w:rsid w:val="00881C62"/>
    <w:rsid w:val="008935C1"/>
    <w:rsid w:val="008A370C"/>
    <w:rsid w:val="008A622A"/>
    <w:rsid w:val="008B0B86"/>
    <w:rsid w:val="008B0D30"/>
    <w:rsid w:val="008B1C17"/>
    <w:rsid w:val="008C0776"/>
    <w:rsid w:val="008C0941"/>
    <w:rsid w:val="008C09B7"/>
    <w:rsid w:val="008D55F8"/>
    <w:rsid w:val="008E3D59"/>
    <w:rsid w:val="008F721F"/>
    <w:rsid w:val="009159B8"/>
    <w:rsid w:val="00920ED4"/>
    <w:rsid w:val="009319C0"/>
    <w:rsid w:val="0095000F"/>
    <w:rsid w:val="00954AF1"/>
    <w:rsid w:val="009565A4"/>
    <w:rsid w:val="00960444"/>
    <w:rsid w:val="009801B7"/>
    <w:rsid w:val="00981698"/>
    <w:rsid w:val="009847B8"/>
    <w:rsid w:val="00997FD8"/>
    <w:rsid w:val="009C1BA0"/>
    <w:rsid w:val="00A03EDB"/>
    <w:rsid w:val="00A07858"/>
    <w:rsid w:val="00A10C47"/>
    <w:rsid w:val="00A13395"/>
    <w:rsid w:val="00A13DAD"/>
    <w:rsid w:val="00A20975"/>
    <w:rsid w:val="00A21AE2"/>
    <w:rsid w:val="00A2349F"/>
    <w:rsid w:val="00A2519A"/>
    <w:rsid w:val="00A33450"/>
    <w:rsid w:val="00A43BA1"/>
    <w:rsid w:val="00A461C0"/>
    <w:rsid w:val="00A51765"/>
    <w:rsid w:val="00A5352C"/>
    <w:rsid w:val="00A67D9E"/>
    <w:rsid w:val="00A71150"/>
    <w:rsid w:val="00A87B66"/>
    <w:rsid w:val="00A91976"/>
    <w:rsid w:val="00A9422D"/>
    <w:rsid w:val="00A949AC"/>
    <w:rsid w:val="00AB048D"/>
    <w:rsid w:val="00AB1B5E"/>
    <w:rsid w:val="00AB4334"/>
    <w:rsid w:val="00AB5616"/>
    <w:rsid w:val="00AC132A"/>
    <w:rsid w:val="00AC547B"/>
    <w:rsid w:val="00AC7A76"/>
    <w:rsid w:val="00AD2DC2"/>
    <w:rsid w:val="00AD3C18"/>
    <w:rsid w:val="00B01249"/>
    <w:rsid w:val="00B02B5C"/>
    <w:rsid w:val="00B04839"/>
    <w:rsid w:val="00B04F07"/>
    <w:rsid w:val="00B0512A"/>
    <w:rsid w:val="00B12BC4"/>
    <w:rsid w:val="00B1560E"/>
    <w:rsid w:val="00B27FFA"/>
    <w:rsid w:val="00B40D0A"/>
    <w:rsid w:val="00B50530"/>
    <w:rsid w:val="00B56DF5"/>
    <w:rsid w:val="00B651EE"/>
    <w:rsid w:val="00B717A7"/>
    <w:rsid w:val="00BC1FC2"/>
    <w:rsid w:val="00BC7E50"/>
    <w:rsid w:val="00BD34C5"/>
    <w:rsid w:val="00BE3908"/>
    <w:rsid w:val="00C029A6"/>
    <w:rsid w:val="00C200E1"/>
    <w:rsid w:val="00C210E6"/>
    <w:rsid w:val="00C37741"/>
    <w:rsid w:val="00C42F1E"/>
    <w:rsid w:val="00C4691B"/>
    <w:rsid w:val="00C50072"/>
    <w:rsid w:val="00C534B5"/>
    <w:rsid w:val="00C766AB"/>
    <w:rsid w:val="00C76F84"/>
    <w:rsid w:val="00C91960"/>
    <w:rsid w:val="00C92286"/>
    <w:rsid w:val="00C9787B"/>
    <w:rsid w:val="00CB3FA4"/>
    <w:rsid w:val="00CB43FE"/>
    <w:rsid w:val="00CB5524"/>
    <w:rsid w:val="00CB5790"/>
    <w:rsid w:val="00CB610A"/>
    <w:rsid w:val="00CB68FF"/>
    <w:rsid w:val="00CD5409"/>
    <w:rsid w:val="00D06D6B"/>
    <w:rsid w:val="00D07BB3"/>
    <w:rsid w:val="00D07F7B"/>
    <w:rsid w:val="00D16382"/>
    <w:rsid w:val="00D30840"/>
    <w:rsid w:val="00D34A25"/>
    <w:rsid w:val="00D44C2B"/>
    <w:rsid w:val="00D52025"/>
    <w:rsid w:val="00D678B4"/>
    <w:rsid w:val="00D76879"/>
    <w:rsid w:val="00D774B0"/>
    <w:rsid w:val="00D932C5"/>
    <w:rsid w:val="00DA1E83"/>
    <w:rsid w:val="00DA2487"/>
    <w:rsid w:val="00DC39ED"/>
    <w:rsid w:val="00DE579B"/>
    <w:rsid w:val="00DE7D94"/>
    <w:rsid w:val="00DF27EE"/>
    <w:rsid w:val="00E04325"/>
    <w:rsid w:val="00E04531"/>
    <w:rsid w:val="00E10825"/>
    <w:rsid w:val="00E14ACD"/>
    <w:rsid w:val="00E16DBF"/>
    <w:rsid w:val="00E47FDA"/>
    <w:rsid w:val="00E51DD9"/>
    <w:rsid w:val="00E61038"/>
    <w:rsid w:val="00E73432"/>
    <w:rsid w:val="00E82C8B"/>
    <w:rsid w:val="00E831D4"/>
    <w:rsid w:val="00E8432E"/>
    <w:rsid w:val="00E86C6D"/>
    <w:rsid w:val="00E9597B"/>
    <w:rsid w:val="00EB5F83"/>
    <w:rsid w:val="00EB6641"/>
    <w:rsid w:val="00EC0311"/>
    <w:rsid w:val="00ED71B9"/>
    <w:rsid w:val="00EE12CF"/>
    <w:rsid w:val="00F06160"/>
    <w:rsid w:val="00F074FE"/>
    <w:rsid w:val="00F1351D"/>
    <w:rsid w:val="00F16C5F"/>
    <w:rsid w:val="00F3056B"/>
    <w:rsid w:val="00F3336C"/>
    <w:rsid w:val="00F377DA"/>
    <w:rsid w:val="00F415F8"/>
    <w:rsid w:val="00F51B08"/>
    <w:rsid w:val="00F5247E"/>
    <w:rsid w:val="00F5379B"/>
    <w:rsid w:val="00F61ED7"/>
    <w:rsid w:val="00F62A29"/>
    <w:rsid w:val="00F83A47"/>
    <w:rsid w:val="00FA48E9"/>
    <w:rsid w:val="00FA499F"/>
    <w:rsid w:val="00FD718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A90A2DF-A6F1-43AE-A001-D87F5DEE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paragraph" w:styleId="Textoindependiente3">
    <w:name w:val="Body Text 3"/>
    <w:basedOn w:val="Normal"/>
    <w:link w:val="Textoindependiente3Car"/>
    <w:semiHidden/>
    <w:unhideWhenUsed/>
    <w:rsid w:val="00B50530"/>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semiHidden/>
    <w:rsid w:val="00B50530"/>
    <w:rPr>
      <w:rFonts w:ascii="Times New Roman" w:eastAsia="Times New Roman" w:hAnsi="Times New Roman" w:cs="Times New Roman"/>
      <w:sz w:val="16"/>
      <w:szCs w:val="16"/>
      <w:lang w:val="es-ES" w:eastAsia="x-none"/>
    </w:rPr>
  </w:style>
  <w:style w:type="paragraph" w:styleId="NormalWeb">
    <w:name w:val="Normal (Web)"/>
    <w:basedOn w:val="Normal"/>
    <w:uiPriority w:val="99"/>
    <w:unhideWhenUsed/>
    <w:rsid w:val="0056164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7153">
      <w:bodyDiv w:val="1"/>
      <w:marLeft w:val="0"/>
      <w:marRight w:val="0"/>
      <w:marTop w:val="0"/>
      <w:marBottom w:val="0"/>
      <w:divBdr>
        <w:top w:val="none" w:sz="0" w:space="0" w:color="auto"/>
        <w:left w:val="none" w:sz="0" w:space="0" w:color="auto"/>
        <w:bottom w:val="none" w:sz="0" w:space="0" w:color="auto"/>
        <w:right w:val="none" w:sz="0" w:space="0" w:color="auto"/>
      </w:divBdr>
    </w:div>
    <w:div w:id="411969265">
      <w:bodyDiv w:val="1"/>
      <w:marLeft w:val="0"/>
      <w:marRight w:val="0"/>
      <w:marTop w:val="0"/>
      <w:marBottom w:val="0"/>
      <w:divBdr>
        <w:top w:val="none" w:sz="0" w:space="0" w:color="auto"/>
        <w:left w:val="none" w:sz="0" w:space="0" w:color="auto"/>
        <w:bottom w:val="none" w:sz="0" w:space="0" w:color="auto"/>
        <w:right w:val="none" w:sz="0" w:space="0" w:color="auto"/>
      </w:divBdr>
    </w:div>
    <w:div w:id="1078752983">
      <w:bodyDiv w:val="1"/>
      <w:marLeft w:val="0"/>
      <w:marRight w:val="0"/>
      <w:marTop w:val="0"/>
      <w:marBottom w:val="0"/>
      <w:divBdr>
        <w:top w:val="none" w:sz="0" w:space="0" w:color="auto"/>
        <w:left w:val="none" w:sz="0" w:space="0" w:color="auto"/>
        <w:bottom w:val="none" w:sz="0" w:space="0" w:color="auto"/>
        <w:right w:val="none" w:sz="0" w:space="0" w:color="auto"/>
      </w:divBdr>
    </w:div>
    <w:div w:id="1588922369">
      <w:bodyDiv w:val="1"/>
      <w:marLeft w:val="0"/>
      <w:marRight w:val="0"/>
      <w:marTop w:val="0"/>
      <w:marBottom w:val="0"/>
      <w:divBdr>
        <w:top w:val="none" w:sz="0" w:space="0" w:color="auto"/>
        <w:left w:val="none" w:sz="0" w:space="0" w:color="auto"/>
        <w:bottom w:val="none" w:sz="0" w:space="0" w:color="auto"/>
        <w:right w:val="none" w:sz="0" w:space="0" w:color="auto"/>
      </w:divBdr>
    </w:div>
    <w:div w:id="1647276127">
      <w:bodyDiv w:val="1"/>
      <w:marLeft w:val="0"/>
      <w:marRight w:val="0"/>
      <w:marTop w:val="0"/>
      <w:marBottom w:val="0"/>
      <w:divBdr>
        <w:top w:val="none" w:sz="0" w:space="0" w:color="auto"/>
        <w:left w:val="none" w:sz="0" w:space="0" w:color="auto"/>
        <w:bottom w:val="none" w:sz="0" w:space="0" w:color="auto"/>
        <w:right w:val="none" w:sz="0" w:space="0" w:color="auto"/>
      </w:divBdr>
    </w:div>
    <w:div w:id="1652438503">
      <w:bodyDiv w:val="1"/>
      <w:marLeft w:val="0"/>
      <w:marRight w:val="0"/>
      <w:marTop w:val="0"/>
      <w:marBottom w:val="0"/>
      <w:divBdr>
        <w:top w:val="none" w:sz="0" w:space="0" w:color="auto"/>
        <w:left w:val="none" w:sz="0" w:space="0" w:color="auto"/>
        <w:bottom w:val="none" w:sz="0" w:space="0" w:color="auto"/>
        <w:right w:val="none" w:sz="0" w:space="0" w:color="auto"/>
      </w:divBdr>
    </w:div>
    <w:div w:id="1823964879">
      <w:bodyDiv w:val="1"/>
      <w:marLeft w:val="0"/>
      <w:marRight w:val="0"/>
      <w:marTop w:val="0"/>
      <w:marBottom w:val="0"/>
      <w:divBdr>
        <w:top w:val="none" w:sz="0" w:space="0" w:color="auto"/>
        <w:left w:val="none" w:sz="0" w:space="0" w:color="auto"/>
        <w:bottom w:val="none" w:sz="0" w:space="0" w:color="auto"/>
        <w:right w:val="none" w:sz="0" w:space="0" w:color="auto"/>
      </w:divBdr>
    </w:div>
    <w:div w:id="20548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3337-AF42-43E1-81F6-51EF4F4F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6</Pages>
  <Words>2599</Words>
  <Characters>14299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Karene Mendez</dc:creator>
  <cp:lastModifiedBy>Víctor André</cp:lastModifiedBy>
  <cp:revision>17</cp:revision>
  <cp:lastPrinted>2017-04-27T15:32:00Z</cp:lastPrinted>
  <dcterms:created xsi:type="dcterms:W3CDTF">2019-03-25T22:24:00Z</dcterms:created>
  <dcterms:modified xsi:type="dcterms:W3CDTF">2019-04-05T18:17:00Z</dcterms:modified>
</cp:coreProperties>
</file>