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994.08447265625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830"/>
        <w:gridCol w:w="1920"/>
        <w:gridCol w:w="3795"/>
        <w:gridCol w:w="4020"/>
        <w:gridCol w:w="75"/>
        <w:tblGridChange w:id="0">
          <w:tblGrid>
            <w:gridCol w:w="1590"/>
            <w:gridCol w:w="1830"/>
            <w:gridCol w:w="1920"/>
            <w:gridCol w:w="3795"/>
            <w:gridCol w:w="4020"/>
            <w:gridCol w:w="75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99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DENUNCIAS POR INCUMPLIMIENTO A LAS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ffffff"/>
                <w:sz w:val="36"/>
                <w:szCs w:val="36"/>
                <w:rtl w:val="0"/>
              </w:rPr>
              <w:t xml:space="preserve">OBLIGACIONES DE TRANSPARENCIA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Inicio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Fecha de 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Número de Denuncia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Determinación/ fallo (Resolución, desechamiento, sobreseimiento) (Hipervínculo a la determinación)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deeaf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989999771118164"/>
                <w:szCs w:val="21.989999771118164"/>
                <w:rtl w:val="0"/>
              </w:rPr>
              <w:t xml:space="preserve">Observaciones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01/10/2021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Rule="auto"/>
              <w:jc w:val="right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31/12/2021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N/A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Rule="auto"/>
              <w:jc w:val="center"/>
              <w:rPr>
                <w:rFonts w:ascii="Montserrat" w:cs="Montserrat" w:eastAsia="Montserrat" w:hAnsi="Montserrat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1.989999771118164"/>
                <w:szCs w:val="21.989999771118164"/>
                <w:rtl w:val="0"/>
              </w:rPr>
              <w:t xml:space="preserve">En el periodo que se informa, la institución no recibió denuncias derivadas del incumplimiento de las obligaciones en materia de información pública, por lo que se carece de datos que proporcionar.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240" w:before="240" w:line="240" w:lineRule="auto"/>
              <w:jc w:val="right"/>
              <w:rPr>
                <w:rFonts w:ascii="Calibri" w:cs="Calibri" w:eastAsia="Calibri" w:hAnsi="Calibri"/>
                <w:sz w:val="21.989999771118164"/>
                <w:szCs w:val="21.98999977111816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.989999771118164"/>
                <w:szCs w:val="21.98999977111816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240" w:before="240" w:line="240" w:lineRule="auto"/>
        <w:ind w:left="720" w:hanging="36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 información se actualiza trimestralmente.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4.08447265625" w:firstLine="0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035" w:top="120" w:left="1275" w:right="43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6896100</wp:posOffset>
          </wp:positionH>
          <wp:positionV relativeFrom="paragraph">
            <wp:posOffset>147638</wp:posOffset>
          </wp:positionV>
          <wp:extent cx="1800225" cy="714375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142875</wp:posOffset>
          </wp:positionV>
          <wp:extent cx="2762250" cy="72390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